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C00B" w14:textId="5DDE2996" w:rsidR="00187782" w:rsidRPr="00E507CD" w:rsidRDefault="00434F71" w:rsidP="00434F71">
      <w:pPr>
        <w:spacing w:after="0" w:line="259" w:lineRule="auto"/>
        <w:ind w:left="6100" w:firstLine="704"/>
        <w:jc w:val="left"/>
        <w:rPr>
          <w:szCs w:val="24"/>
        </w:rPr>
      </w:pPr>
      <w:r>
        <w:rPr>
          <w:i w:val="0"/>
          <w:szCs w:val="24"/>
        </w:rPr>
        <w:t>Банк России</w:t>
      </w:r>
    </w:p>
    <w:p w14:paraId="10C34DDA" w14:textId="77777777" w:rsidR="00187782" w:rsidRPr="00E507CD" w:rsidRDefault="00187782" w:rsidP="00187782">
      <w:pPr>
        <w:spacing w:after="60" w:line="259" w:lineRule="auto"/>
        <w:ind w:left="4508" w:right="-29" w:firstLine="0"/>
        <w:jc w:val="left"/>
        <w:rPr>
          <w:szCs w:val="24"/>
        </w:rPr>
      </w:pPr>
      <w:r w:rsidRPr="00E507CD">
        <w:rPr>
          <w:rFonts w:eastAsia="Calibri"/>
          <w:b w:val="0"/>
          <w:i w:val="0"/>
          <w:noProof/>
          <w:szCs w:val="24"/>
        </w:rPr>
        <mc:AlternateContent>
          <mc:Choice Requires="wpg">
            <w:drawing>
              <wp:inline distT="0" distB="0" distL="0" distR="0" wp14:anchorId="65DF36BE" wp14:editId="3F440192">
                <wp:extent cx="3458591" cy="6096"/>
                <wp:effectExtent l="0" t="0" r="0" b="0"/>
                <wp:docPr id="11068" name="Group 1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591" cy="6096"/>
                          <a:chOff x="0" y="0"/>
                          <a:chExt cx="3458591" cy="6096"/>
                        </a:xfrm>
                      </wpg:grpSpPr>
                      <wps:wsp>
                        <wps:cNvPr id="12701" name="Shape 12701"/>
                        <wps:cNvSpPr/>
                        <wps:spPr>
                          <a:xfrm>
                            <a:off x="0" y="0"/>
                            <a:ext cx="3458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591" h="9144">
                                <a:moveTo>
                                  <a:pt x="0" y="0"/>
                                </a:moveTo>
                                <a:lnTo>
                                  <a:pt x="3458591" y="0"/>
                                </a:lnTo>
                                <a:lnTo>
                                  <a:pt x="3458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17E90" id="Group 11068" o:spid="_x0000_s1026" style="width:272.35pt;height:.5pt;mso-position-horizontal-relative:char;mso-position-vertical-relative:line" coordsize="345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">
                <v:shape id="Shape 12701" o:spid="_x0000_s1027" style="position:absolute;width:34585;height:91;visibility:visible;mso-wrap-style:square;v-text-anchor:top" coordsize="34585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" path="m,l3458591,r,9144l,9144,,e" fillcolor="black" stroked="f" strokeweight="0">
                  <v:stroke miterlimit="83231f" joinstyle="miter"/>
                  <v:path arrowok="t" textboxrect="0,0,3458591,9144"/>
                </v:shape>
                <w10:anchorlock/>
              </v:group>
            </w:pict>
          </mc:Fallback>
        </mc:AlternateContent>
      </w:r>
    </w:p>
    <w:p w14:paraId="2F8E4E62" w14:textId="77777777" w:rsidR="00187782" w:rsidRPr="00E507CD" w:rsidRDefault="00187782" w:rsidP="00187782">
      <w:pPr>
        <w:spacing w:after="0" w:line="259" w:lineRule="auto"/>
        <w:ind w:left="10" w:right="299" w:hanging="10"/>
        <w:jc w:val="right"/>
      </w:pPr>
      <w:r w:rsidRPr="00E507CD">
        <w:rPr>
          <w:b w:val="0"/>
          <w:i w:val="0"/>
          <w:sz w:val="18"/>
        </w:rPr>
        <w:t xml:space="preserve">(наименование регистрирующей организации) </w:t>
      </w:r>
    </w:p>
    <w:p w14:paraId="0161C332" w14:textId="77777777" w:rsidR="00187782" w:rsidRPr="00E507CD" w:rsidRDefault="00187782" w:rsidP="00187782">
      <w:pPr>
        <w:spacing w:after="341" w:line="259" w:lineRule="auto"/>
        <w:ind w:left="4579" w:firstLine="0"/>
        <w:jc w:val="center"/>
      </w:pPr>
    </w:p>
    <w:p w14:paraId="1E8A147B" w14:textId="77777777" w:rsidR="00187782" w:rsidRPr="00E507CD" w:rsidRDefault="00187782" w:rsidP="00187782">
      <w:pPr>
        <w:spacing w:after="512" w:line="259" w:lineRule="auto"/>
        <w:ind w:left="43" w:firstLine="0"/>
        <w:jc w:val="center"/>
      </w:pPr>
    </w:p>
    <w:p w14:paraId="324078D2" w14:textId="2BB1D6E5" w:rsidR="00187782" w:rsidRPr="00E507CD" w:rsidRDefault="00187782" w:rsidP="00187782">
      <w:pPr>
        <w:pStyle w:val="1"/>
        <w:jc w:val="center"/>
      </w:pPr>
      <w:r w:rsidRPr="00E507CD">
        <w:t>ДОКУМЕНТ, СОДЕРЖАЩИЙ УСЛОВИЯ РАЗМЕЩЕНИЯ ЦЕННЫХ БУМАГ</w:t>
      </w:r>
    </w:p>
    <w:p w14:paraId="6E67CFDD" w14:textId="77777777" w:rsidR="00187782" w:rsidRPr="00E507CD" w:rsidRDefault="00187782" w:rsidP="00187782">
      <w:pPr>
        <w:spacing w:after="24" w:line="259" w:lineRule="auto"/>
        <w:ind w:left="-29" w:right="-26" w:firstLine="0"/>
        <w:jc w:val="left"/>
        <w:rPr>
          <w:b w:val="0"/>
          <w:i w:val="0"/>
          <w:szCs w:val="24"/>
        </w:rPr>
      </w:pPr>
    </w:p>
    <w:p w14:paraId="1F9E42FE" w14:textId="77777777" w:rsidR="00187782" w:rsidRPr="00E507CD" w:rsidRDefault="00187782" w:rsidP="00187782">
      <w:pPr>
        <w:spacing w:after="24" w:line="259" w:lineRule="auto"/>
        <w:ind w:left="-29" w:right="-26" w:firstLine="0"/>
        <w:jc w:val="center"/>
      </w:pPr>
      <w:r w:rsidRPr="00E507CD">
        <w:rPr>
          <w:bCs/>
          <w:iCs/>
          <w:sz w:val="32"/>
          <w:szCs w:val="32"/>
        </w:rPr>
        <w:t>Публичное акционерное общество «МТС-Банк»</w:t>
      </w:r>
    </w:p>
    <w:p w14:paraId="157CC326" w14:textId="77777777" w:rsidR="00187782" w:rsidRPr="00E507CD" w:rsidRDefault="00187782" w:rsidP="00187782">
      <w:pPr>
        <w:spacing w:after="0" w:line="259" w:lineRule="auto"/>
        <w:ind w:left="65" w:firstLine="0"/>
        <w:jc w:val="left"/>
      </w:pPr>
    </w:p>
    <w:p w14:paraId="6E57371C" w14:textId="77777777" w:rsidR="00187782" w:rsidRPr="00E507CD" w:rsidRDefault="00187782" w:rsidP="00187782">
      <w:pPr>
        <w:spacing w:after="0" w:line="259" w:lineRule="auto"/>
        <w:ind w:left="47" w:firstLine="0"/>
        <w:jc w:val="center"/>
      </w:pPr>
    </w:p>
    <w:p w14:paraId="33FE0A65" w14:textId="52C91A1D" w:rsidR="00E1135E" w:rsidRPr="00E507CD" w:rsidRDefault="00E11733" w:rsidP="00E1135E">
      <w:pPr>
        <w:autoSpaceDE w:val="0"/>
        <w:autoSpaceDN w:val="0"/>
        <w:spacing w:after="0" w:line="240" w:lineRule="auto"/>
        <w:jc w:val="center"/>
        <w:rPr>
          <w:b w:val="0"/>
          <w:bCs/>
          <w:i w:val="0"/>
          <w:iCs/>
          <w:szCs w:val="24"/>
        </w:rPr>
      </w:pPr>
      <w:r>
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04СУБ, в количестве 300 (Триста) штук, номинальной стоимостью 10 000 000 (Десять миллионов) российских рублей каждая, размещаемые по закрытой подписке, предназначенные для квалифицированных инвесторов</w:t>
      </w:r>
    </w:p>
    <w:p w14:paraId="08917F07" w14:textId="77777777" w:rsidR="00187782" w:rsidRPr="00E507CD" w:rsidRDefault="00187782" w:rsidP="00187782">
      <w:pPr>
        <w:spacing w:after="0" w:line="259" w:lineRule="auto"/>
        <w:ind w:firstLine="0"/>
        <w:jc w:val="left"/>
        <w:rPr>
          <w:b w:val="0"/>
          <w:i w:val="0"/>
        </w:rPr>
      </w:pPr>
    </w:p>
    <w:p w14:paraId="1A72EBBB" w14:textId="77777777" w:rsidR="00A46958" w:rsidRPr="00E507CD" w:rsidRDefault="00A46958" w:rsidP="00A46958">
      <w:pPr>
        <w:pBdr>
          <w:top w:val="single" w:sz="4" w:space="1" w:color="auto"/>
        </w:pBdr>
        <w:spacing w:after="0" w:line="240" w:lineRule="auto"/>
        <w:jc w:val="center"/>
        <w:rPr>
          <w:b w:val="0"/>
          <w:bCs/>
          <w:i w:val="0"/>
          <w:iCs/>
          <w:sz w:val="30"/>
          <w:szCs w:val="30"/>
        </w:rPr>
      </w:pPr>
      <w:r w:rsidRPr="00E507CD">
        <w:rPr>
          <w:b w:val="0"/>
          <w:bCs/>
          <w:i w:val="0"/>
          <w:iCs/>
          <w:sz w:val="30"/>
          <w:szCs w:val="30"/>
        </w:rPr>
        <w:t>ЦЕННЫЕ БУМАГИ, СОСТАВЛЯЮЩИЕ НАСТОЯЩИЙ ВЫПУСК, ЯВЛЯЮТСЯ ЦЕННЫМИ БУМАГАМИ, ПРЕДНАЗНАЧЕННЫМИ ДЛЯ КВАЛИФИЦИРОВАННЫХ ИНВЕСТОРОВ, И ОГРАНИЧЕНЫ В</w:t>
      </w:r>
    </w:p>
    <w:p w14:paraId="45CA3615" w14:textId="77777777" w:rsidR="00A46958" w:rsidRPr="00E507CD" w:rsidRDefault="00A46958" w:rsidP="00A46958">
      <w:pPr>
        <w:pBdr>
          <w:top w:val="single" w:sz="4" w:space="1" w:color="auto"/>
        </w:pBdr>
        <w:spacing w:after="0" w:line="240" w:lineRule="auto"/>
        <w:jc w:val="center"/>
        <w:rPr>
          <w:b w:val="0"/>
          <w:bCs/>
          <w:i w:val="0"/>
          <w:iCs/>
          <w:sz w:val="30"/>
          <w:szCs w:val="30"/>
        </w:rPr>
      </w:pPr>
      <w:r w:rsidRPr="00E507CD">
        <w:rPr>
          <w:b w:val="0"/>
          <w:bCs/>
          <w:i w:val="0"/>
          <w:iCs/>
          <w:sz w:val="30"/>
          <w:szCs w:val="30"/>
        </w:rPr>
        <w:t>ОБОРОТЕ В СООТВЕТСТВИИ С ЗАКОНОДАТЕЛЬСТВОМ РОССИЙСКОЙ ФЕДЕРАЦИИ</w:t>
      </w:r>
    </w:p>
    <w:p w14:paraId="50C2EAE3" w14:textId="33E19A69" w:rsidR="00187782" w:rsidRDefault="00187782" w:rsidP="00187782">
      <w:pPr>
        <w:spacing w:after="0" w:line="259" w:lineRule="auto"/>
        <w:ind w:firstLine="0"/>
        <w:jc w:val="left"/>
      </w:pPr>
    </w:p>
    <w:p w14:paraId="70ED8030" w14:textId="625BADAB" w:rsidR="00E1135E" w:rsidRDefault="00E1135E" w:rsidP="00187782">
      <w:pPr>
        <w:spacing w:after="0" w:line="259" w:lineRule="auto"/>
        <w:ind w:firstLine="0"/>
        <w:jc w:val="left"/>
      </w:pPr>
    </w:p>
    <w:p w14:paraId="72225940" w14:textId="2AC6EE2D" w:rsidR="00E1135E" w:rsidRDefault="00E1135E" w:rsidP="00187782">
      <w:pPr>
        <w:spacing w:after="0" w:line="259" w:lineRule="auto"/>
        <w:ind w:firstLine="0"/>
        <w:jc w:val="left"/>
      </w:pPr>
    </w:p>
    <w:p w14:paraId="2CAC0CFD" w14:textId="77777777" w:rsidR="00E1135E" w:rsidRPr="00E507CD" w:rsidRDefault="00E1135E" w:rsidP="00187782">
      <w:pPr>
        <w:spacing w:after="0" w:line="259" w:lineRule="auto"/>
        <w:ind w:firstLine="0"/>
        <w:jc w:val="left"/>
      </w:pPr>
    </w:p>
    <w:p w14:paraId="60B9DAE8" w14:textId="634E85B4" w:rsidR="00187782" w:rsidRPr="00E507CD" w:rsidRDefault="00187782" w:rsidP="00187782">
      <w:pPr>
        <w:spacing w:after="0" w:line="259" w:lineRule="auto"/>
        <w:ind w:firstLine="0"/>
      </w:pPr>
      <w:r w:rsidRPr="00E507CD">
        <w:rPr>
          <w:b w:val="0"/>
          <w:i w:val="0"/>
        </w:rPr>
        <w:t xml:space="preserve">Место нахождения эмитента (в соответствии с его уставом): </w:t>
      </w:r>
      <w:r w:rsidRPr="00E507CD">
        <w:rPr>
          <w:szCs w:val="26"/>
        </w:rPr>
        <w:t>г. Москва</w:t>
      </w:r>
    </w:p>
    <w:p w14:paraId="550FEB51" w14:textId="77777777" w:rsidR="00187782" w:rsidRPr="00E507CD" w:rsidRDefault="00187782" w:rsidP="00187782">
      <w:pPr>
        <w:ind w:firstLine="0"/>
      </w:pPr>
    </w:p>
    <w:p w14:paraId="5EC377FD" w14:textId="58E0FA81" w:rsidR="00187782" w:rsidRDefault="00187782" w:rsidP="00187782">
      <w:pPr>
        <w:ind w:firstLine="0"/>
      </w:pPr>
    </w:p>
    <w:p w14:paraId="49F71C93" w14:textId="28101AF4" w:rsidR="00E1135E" w:rsidRDefault="00E1135E" w:rsidP="00187782">
      <w:pPr>
        <w:ind w:firstLine="0"/>
      </w:pPr>
    </w:p>
    <w:p w14:paraId="0CE6DD88" w14:textId="0FCD6A8C" w:rsidR="00E1135E" w:rsidRDefault="00E1135E" w:rsidP="00187782">
      <w:pPr>
        <w:ind w:firstLine="0"/>
      </w:pPr>
    </w:p>
    <w:p w14:paraId="567D42EB" w14:textId="77777777" w:rsidR="00E1135E" w:rsidRPr="00E507CD" w:rsidRDefault="00E1135E" w:rsidP="00187782">
      <w:pPr>
        <w:ind w:firstLine="0"/>
      </w:pPr>
    </w:p>
    <w:p w14:paraId="46BA7E76" w14:textId="77777777" w:rsidR="000B3770" w:rsidRPr="00E507CD" w:rsidRDefault="000B3770" w:rsidP="000B377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4C28F0" w14:textId="77777777" w:rsidR="00E1135E" w:rsidRPr="00E4212F" w:rsidRDefault="00E1135E" w:rsidP="00E1135E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212F">
        <w:rPr>
          <w:rFonts w:ascii="Times New Roman" w:hAnsi="Times New Roman" w:cs="Times New Roman"/>
          <w:b/>
          <w:i/>
          <w:sz w:val="22"/>
          <w:szCs w:val="22"/>
        </w:rPr>
        <w:t xml:space="preserve">Руководитель направления по рынку капитала, </w:t>
      </w:r>
    </w:p>
    <w:p w14:paraId="41CB6876" w14:textId="77777777" w:rsidR="00E1135E" w:rsidRPr="00E4212F" w:rsidRDefault="00E1135E" w:rsidP="00E1135E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212F">
        <w:rPr>
          <w:rFonts w:ascii="Times New Roman" w:hAnsi="Times New Roman" w:cs="Times New Roman"/>
          <w:b/>
          <w:i/>
          <w:sz w:val="22"/>
          <w:szCs w:val="22"/>
        </w:rPr>
        <w:t xml:space="preserve">действующий на основании </w:t>
      </w:r>
    </w:p>
    <w:p w14:paraId="33735893" w14:textId="77777777" w:rsidR="00E1135E" w:rsidRPr="00E4212F" w:rsidRDefault="00E1135E" w:rsidP="00E1135E">
      <w:pPr>
        <w:pStyle w:val="ConsPlusNonformat"/>
        <w:tabs>
          <w:tab w:val="left" w:pos="810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4212F">
        <w:rPr>
          <w:rFonts w:ascii="Times New Roman" w:hAnsi="Times New Roman" w:cs="Times New Roman"/>
          <w:b/>
          <w:i/>
          <w:sz w:val="22"/>
          <w:szCs w:val="22"/>
        </w:rPr>
        <w:t>Доверенности №И-24-00</w:t>
      </w:r>
      <w:r>
        <w:rPr>
          <w:rFonts w:ascii="Times New Roman" w:hAnsi="Times New Roman" w:cs="Times New Roman"/>
          <w:b/>
          <w:i/>
          <w:sz w:val="22"/>
          <w:szCs w:val="22"/>
        </w:rPr>
        <w:t>085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>/2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>-(0) от «</w:t>
      </w:r>
      <w:r>
        <w:rPr>
          <w:rFonts w:ascii="Times New Roman" w:hAnsi="Times New Roman" w:cs="Times New Roman"/>
          <w:b/>
          <w:i/>
          <w:sz w:val="22"/>
          <w:szCs w:val="22"/>
        </w:rPr>
        <w:t>21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i/>
          <w:sz w:val="22"/>
          <w:szCs w:val="22"/>
        </w:rPr>
        <w:t>февраля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 xml:space="preserve"> 202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>г</w:t>
      </w:r>
      <w:r w:rsidRPr="00E4212F" w:rsidDel="00DF70E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>А.Д. Жигалин</w:t>
      </w:r>
    </w:p>
    <w:p w14:paraId="6B19D3D8" w14:textId="77777777" w:rsidR="00E1135E" w:rsidRPr="00E507CD" w:rsidRDefault="00E1135E" w:rsidP="00E1135E">
      <w:pPr>
        <w:pStyle w:val="Default"/>
        <w:ind w:firstLine="708"/>
        <w:rPr>
          <w:color w:val="auto"/>
          <w:sz w:val="20"/>
          <w:szCs w:val="20"/>
        </w:rPr>
      </w:pPr>
      <w:r w:rsidRPr="00E507CD">
        <w:rPr>
          <w:color w:val="auto"/>
          <w:sz w:val="20"/>
          <w:szCs w:val="20"/>
        </w:rPr>
        <w:tab/>
      </w:r>
      <w:r w:rsidRPr="00E507CD">
        <w:rPr>
          <w:color w:val="auto"/>
          <w:sz w:val="20"/>
          <w:szCs w:val="20"/>
        </w:rPr>
        <w:tab/>
      </w:r>
      <w:r w:rsidRPr="00E507CD">
        <w:rPr>
          <w:color w:val="auto"/>
          <w:sz w:val="20"/>
          <w:szCs w:val="20"/>
        </w:rPr>
        <w:tab/>
      </w:r>
    </w:p>
    <w:p w14:paraId="3CA03449" w14:textId="77777777" w:rsidR="00187782" w:rsidRPr="00E507CD" w:rsidRDefault="00187782" w:rsidP="00187782">
      <w:pPr>
        <w:sectPr w:rsidR="00187782" w:rsidRPr="00E507CD" w:rsidSect="00EC72A3">
          <w:headerReference w:type="default" r:id="rId8"/>
          <w:footerReference w:type="even" r:id="rId9"/>
          <w:footerReference w:type="default" r:id="rId10"/>
          <w:footerReference w:type="first" r:id="rId11"/>
          <w:pgSz w:w="11900" w:h="16820"/>
          <w:pgMar w:top="568" w:right="843" w:bottom="709" w:left="1440" w:header="567" w:footer="720" w:gutter="0"/>
          <w:cols w:space="720"/>
        </w:sectPr>
      </w:pPr>
    </w:p>
    <w:p w14:paraId="69029F25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lastRenderedPageBreak/>
        <w:t xml:space="preserve">Далее в настоящем документе будут использоваться следующие термины: </w:t>
      </w:r>
    </w:p>
    <w:p w14:paraId="3477674E" w14:textId="7635765F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 xml:space="preserve">Решение о выпуске – решение о выпуске ценных бумаг, закрепляющее совокупность имущественных и неимущественных прав в отношении настоящего </w:t>
      </w:r>
      <w:r w:rsidR="00A71B80">
        <w:rPr>
          <w:sz w:val="22"/>
        </w:rPr>
        <w:t>Выпуска</w:t>
      </w:r>
      <w:r w:rsidR="00F078BC" w:rsidRPr="00E507CD">
        <w:rPr>
          <w:sz w:val="22"/>
        </w:rPr>
        <w:t>.</w:t>
      </w:r>
    </w:p>
    <w:p w14:paraId="63C2EA3C" w14:textId="2D664F46" w:rsidR="00187782" w:rsidRPr="00E507CD" w:rsidRDefault="0056586E" w:rsidP="0056586E">
      <w:pPr>
        <w:spacing w:after="0" w:line="240" w:lineRule="auto"/>
        <w:ind w:firstLine="567"/>
        <w:rPr>
          <w:sz w:val="22"/>
        </w:rPr>
      </w:pPr>
      <w:r w:rsidRPr="0056586E">
        <w:rPr>
          <w:sz w:val="22"/>
        </w:rPr>
        <w:t>Выпуск – выпуск облигаций серии 03СУБ, регистрационный номер выпуска 4-0</w:t>
      </w:r>
      <w:r w:rsidR="00CE0B80">
        <w:rPr>
          <w:sz w:val="22"/>
        </w:rPr>
        <w:t>9</w:t>
      </w:r>
      <w:r w:rsidRPr="0056586E">
        <w:rPr>
          <w:sz w:val="22"/>
        </w:rPr>
        <w:t xml:space="preserve">-02268-B от </w:t>
      </w:r>
      <w:r w:rsidR="00CE0B80" w:rsidRPr="00CE0B80">
        <w:rPr>
          <w:sz w:val="22"/>
        </w:rPr>
        <w:t xml:space="preserve">07.02.2022 </w:t>
      </w:r>
      <w:r w:rsidRPr="0056586E">
        <w:rPr>
          <w:sz w:val="22"/>
        </w:rPr>
        <w:t>г.;</w:t>
      </w:r>
    </w:p>
    <w:p w14:paraId="47A0E3E7" w14:textId="75436EAB" w:rsidR="00187782" w:rsidRPr="00434F71" w:rsidRDefault="00000A6A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О</w:t>
      </w:r>
      <w:r w:rsidR="00187782" w:rsidRPr="00E507CD">
        <w:rPr>
          <w:sz w:val="22"/>
        </w:rPr>
        <w:t>блигаци</w:t>
      </w:r>
      <w:r w:rsidRPr="00E507CD">
        <w:rPr>
          <w:sz w:val="22"/>
        </w:rPr>
        <w:t>и, Облигации выпуска</w:t>
      </w:r>
      <w:r w:rsidR="00187782" w:rsidRPr="00E507CD">
        <w:rPr>
          <w:sz w:val="22"/>
        </w:rPr>
        <w:t xml:space="preserve"> (</w:t>
      </w:r>
      <w:r w:rsidRPr="00E507CD">
        <w:rPr>
          <w:sz w:val="22"/>
        </w:rPr>
        <w:t>Облигация, Облигация выпуска</w:t>
      </w:r>
      <w:r w:rsidR="00187782" w:rsidRPr="00E507CD">
        <w:rPr>
          <w:sz w:val="22"/>
        </w:rPr>
        <w:t>) – облигации, размещаемые в рамках Выпуска.</w:t>
      </w:r>
    </w:p>
    <w:p w14:paraId="0253E22C" w14:textId="530909D4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Эмитент</w:t>
      </w:r>
      <w:r w:rsidR="00000A6A" w:rsidRPr="00E507CD">
        <w:rPr>
          <w:sz w:val="22"/>
        </w:rPr>
        <w:t xml:space="preserve"> –</w:t>
      </w:r>
      <w:r w:rsidR="00EC139D" w:rsidRPr="00E507CD">
        <w:rPr>
          <w:sz w:val="22"/>
        </w:rPr>
        <w:t xml:space="preserve"> </w:t>
      </w:r>
      <w:r w:rsidRPr="00E507CD">
        <w:rPr>
          <w:sz w:val="22"/>
        </w:rPr>
        <w:t>Публичное акционе</w:t>
      </w:r>
      <w:r w:rsidR="00466E4D" w:rsidRPr="00E507CD">
        <w:rPr>
          <w:sz w:val="22"/>
        </w:rPr>
        <w:t>р</w:t>
      </w:r>
      <w:r w:rsidRPr="00E507CD">
        <w:rPr>
          <w:sz w:val="22"/>
        </w:rPr>
        <w:t>ное общество «МТС-Банк», ПАО «МТС-Банк»</w:t>
      </w:r>
      <w:r w:rsidR="00F078BC" w:rsidRPr="00E507CD">
        <w:rPr>
          <w:sz w:val="22"/>
        </w:rPr>
        <w:t>.</w:t>
      </w:r>
    </w:p>
    <w:p w14:paraId="2F88BF91" w14:textId="77777777" w:rsidR="00187782" w:rsidRPr="00E507CD" w:rsidRDefault="00187782" w:rsidP="00187782">
      <w:pPr>
        <w:spacing w:after="0" w:line="240" w:lineRule="auto"/>
        <w:ind w:firstLine="0"/>
        <w:jc w:val="left"/>
        <w:rPr>
          <w:sz w:val="22"/>
        </w:rPr>
      </w:pPr>
    </w:p>
    <w:p w14:paraId="2C29EA54" w14:textId="616EBB78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Иные термины, используемые в настоящем документе, имеют значение, определенное в Решении о выпуске.</w:t>
      </w:r>
    </w:p>
    <w:p w14:paraId="5F0F6B62" w14:textId="77777777" w:rsidR="00187782" w:rsidRPr="00E507CD" w:rsidRDefault="00187782" w:rsidP="00187782">
      <w:pPr>
        <w:spacing w:after="0" w:line="240" w:lineRule="auto"/>
        <w:contextualSpacing/>
        <w:jc w:val="left"/>
        <w:rPr>
          <w:sz w:val="22"/>
        </w:rPr>
      </w:pPr>
    </w:p>
    <w:p w14:paraId="6D978AC1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contextualSpacing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1. Вид, категория (тип), идентификационные признаки ценных бумаг</w:t>
      </w:r>
    </w:p>
    <w:p w14:paraId="69B30D7D" w14:textId="0F2AC893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contextualSpacing/>
        <w:rPr>
          <w:sz w:val="22"/>
        </w:rPr>
      </w:pPr>
      <w:r w:rsidRPr="00E507CD">
        <w:rPr>
          <w:b w:val="0"/>
          <w:i w:val="0"/>
          <w:sz w:val="22"/>
        </w:rPr>
        <w:t>Вид ценных бумаг:</w:t>
      </w:r>
      <w:r w:rsidRPr="00E507CD">
        <w:rPr>
          <w:sz w:val="22"/>
        </w:rPr>
        <w:t xml:space="preserve"> облигации</w:t>
      </w:r>
    </w:p>
    <w:p w14:paraId="17121E5E" w14:textId="77777777" w:rsidR="00EF55F5" w:rsidRPr="00E507CD" w:rsidRDefault="00EF55F5" w:rsidP="00EF55F5">
      <w:pPr>
        <w:tabs>
          <w:tab w:val="left" w:pos="284"/>
        </w:tabs>
        <w:spacing w:after="0" w:line="240" w:lineRule="auto"/>
        <w:ind w:firstLine="567"/>
        <w:contextualSpacing/>
        <w:rPr>
          <w:b w:val="0"/>
          <w:bCs/>
          <w:i w:val="0"/>
          <w:iCs/>
          <w:sz w:val="22"/>
        </w:rPr>
      </w:pPr>
      <w:r w:rsidRPr="00E507CD">
        <w:rPr>
          <w:b w:val="0"/>
          <w:i w:val="0"/>
          <w:sz w:val="22"/>
        </w:rPr>
        <w:t>Иные идентификационные признаки размещаемых ценных бумаг:</w:t>
      </w:r>
      <w:r w:rsidRPr="00E507CD">
        <w:rPr>
          <w:sz w:val="22"/>
        </w:rPr>
        <w:t xml:space="preserve"> </w:t>
      </w:r>
      <w:r w:rsidRPr="008E3696">
        <w:rPr>
          <w:bCs/>
          <w:iCs/>
          <w:sz w:val="22"/>
        </w:rPr>
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размещаемые по закрытой подписке, предназначенные для квалифицированных инвесторов</w:t>
      </w:r>
    </w:p>
    <w:p w14:paraId="51846BBE" w14:textId="630581D9" w:rsidR="00000A6A" w:rsidRPr="00E507CD" w:rsidRDefault="00000A6A" w:rsidP="00187782">
      <w:pPr>
        <w:tabs>
          <w:tab w:val="left" w:pos="284"/>
        </w:tabs>
        <w:spacing w:after="0" w:line="240" w:lineRule="auto"/>
        <w:ind w:firstLine="567"/>
        <w:contextualSpacing/>
        <w:rPr>
          <w:sz w:val="22"/>
        </w:rPr>
      </w:pPr>
      <w:r w:rsidRPr="00E507CD">
        <w:rPr>
          <w:b w:val="0"/>
          <w:bCs/>
          <w:i w:val="0"/>
          <w:iCs/>
          <w:sz w:val="22"/>
        </w:rPr>
        <w:t>Серия облигаций выпуска:</w:t>
      </w:r>
      <w:r w:rsidRPr="00E507CD">
        <w:rPr>
          <w:bCs/>
          <w:iCs/>
          <w:sz w:val="22"/>
        </w:rPr>
        <w:t xml:space="preserve"> 0</w:t>
      </w:r>
      <w:r w:rsidR="00CE0B80">
        <w:rPr>
          <w:bCs/>
          <w:iCs/>
          <w:sz w:val="22"/>
        </w:rPr>
        <w:t>4</w:t>
      </w:r>
      <w:r w:rsidRPr="00E507CD">
        <w:rPr>
          <w:bCs/>
          <w:iCs/>
          <w:sz w:val="22"/>
        </w:rPr>
        <w:t>СУБ.</w:t>
      </w:r>
    </w:p>
    <w:p w14:paraId="0B650AAD" w14:textId="2F7E8809" w:rsidR="00187782" w:rsidRPr="00E507CD" w:rsidRDefault="00187782" w:rsidP="00D6026F">
      <w:pPr>
        <w:tabs>
          <w:tab w:val="left" w:pos="284"/>
        </w:tabs>
        <w:spacing w:after="0" w:line="240" w:lineRule="auto"/>
        <w:ind w:firstLine="0"/>
        <w:contextualSpacing/>
        <w:rPr>
          <w:sz w:val="22"/>
        </w:rPr>
      </w:pPr>
    </w:p>
    <w:p w14:paraId="3E5758F4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contextualSpacing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2. Количество размещаемых эмиссионных ценных бумаг</w:t>
      </w:r>
    </w:p>
    <w:p w14:paraId="37FC54C5" w14:textId="388933B4" w:rsidR="00187782" w:rsidRPr="00E507CD" w:rsidRDefault="00333733" w:rsidP="00187782">
      <w:pPr>
        <w:tabs>
          <w:tab w:val="left" w:pos="284"/>
        </w:tabs>
        <w:spacing w:after="0" w:line="240" w:lineRule="auto"/>
        <w:ind w:firstLine="567"/>
        <w:contextualSpacing/>
        <w:rPr>
          <w:sz w:val="22"/>
        </w:rPr>
      </w:pPr>
      <w:r w:rsidRPr="00E507CD">
        <w:rPr>
          <w:sz w:val="22"/>
        </w:rPr>
        <w:t>3</w:t>
      </w:r>
      <w:r w:rsidR="00000A6A" w:rsidRPr="00E507CD">
        <w:rPr>
          <w:sz w:val="22"/>
        </w:rPr>
        <w:t>00</w:t>
      </w:r>
      <w:r w:rsidR="00187782" w:rsidRPr="00E507CD">
        <w:rPr>
          <w:sz w:val="22"/>
        </w:rPr>
        <w:t xml:space="preserve"> (</w:t>
      </w:r>
      <w:r w:rsidRPr="00E507CD">
        <w:rPr>
          <w:sz w:val="22"/>
        </w:rPr>
        <w:t>Три</w:t>
      </w:r>
      <w:r w:rsidR="00000A6A" w:rsidRPr="00E507CD">
        <w:rPr>
          <w:sz w:val="22"/>
        </w:rPr>
        <w:t>ста</w:t>
      </w:r>
      <w:r w:rsidR="00187782" w:rsidRPr="00E507CD">
        <w:rPr>
          <w:sz w:val="22"/>
        </w:rPr>
        <w:t>) штук.</w:t>
      </w:r>
    </w:p>
    <w:p w14:paraId="664CD205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contextualSpacing/>
        <w:rPr>
          <w:sz w:val="22"/>
        </w:rPr>
      </w:pPr>
    </w:p>
    <w:p w14:paraId="2C21FC75" w14:textId="458D7FA7" w:rsidR="00187782" w:rsidRPr="00E507CD" w:rsidRDefault="00187782" w:rsidP="00187782">
      <w:pPr>
        <w:autoSpaceDE w:val="0"/>
        <w:autoSpaceDN w:val="0"/>
        <w:adjustRightInd w:val="0"/>
        <w:spacing w:after="0" w:line="240" w:lineRule="auto"/>
        <w:ind w:firstLine="540"/>
        <w:contextualSpacing/>
        <w:outlineLvl w:val="0"/>
        <w:rPr>
          <w:rFonts w:eastAsiaTheme="minorEastAsia"/>
          <w:b w:val="0"/>
          <w:bCs/>
          <w:i w:val="0"/>
          <w:iCs/>
          <w:color w:val="auto"/>
          <w:sz w:val="22"/>
        </w:rPr>
      </w:pPr>
      <w:r w:rsidRPr="00E507CD">
        <w:rPr>
          <w:rFonts w:eastAsiaTheme="minorEastAsia"/>
          <w:b w:val="0"/>
          <w:bCs/>
          <w:i w:val="0"/>
          <w:iCs/>
          <w:color w:val="auto"/>
          <w:sz w:val="22"/>
        </w:rPr>
        <w:t>3. Срок размещения ценных бумаг</w:t>
      </w:r>
    </w:p>
    <w:p w14:paraId="0C78D0B4" w14:textId="3AEB09DA" w:rsidR="009F38E5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rFonts w:eastAsiaTheme="minorEastAsia"/>
          <w:bCs/>
          <w:iCs/>
          <w:color w:val="auto"/>
          <w:sz w:val="22"/>
        </w:rPr>
      </w:pPr>
      <w:r w:rsidRPr="00E507CD">
        <w:rPr>
          <w:rFonts w:eastAsiaTheme="minorEastAsia"/>
          <w:bCs/>
          <w:iCs/>
          <w:color w:val="auto"/>
          <w:sz w:val="22"/>
        </w:rPr>
        <w:t xml:space="preserve">Дата начала размещения </w:t>
      </w:r>
      <w:r w:rsidR="00BF28C0" w:rsidRPr="00E507CD">
        <w:rPr>
          <w:rFonts w:eastAsiaTheme="minorEastAsia"/>
          <w:bCs/>
          <w:iCs/>
          <w:color w:val="auto"/>
          <w:sz w:val="22"/>
        </w:rPr>
        <w:t>О</w:t>
      </w:r>
      <w:r w:rsidRPr="00E507CD">
        <w:rPr>
          <w:rFonts w:eastAsiaTheme="minorEastAsia"/>
          <w:bCs/>
          <w:iCs/>
          <w:color w:val="auto"/>
          <w:sz w:val="22"/>
        </w:rPr>
        <w:t xml:space="preserve">блигаций: </w:t>
      </w:r>
      <w:r w:rsidR="00AB4A86" w:rsidRPr="00FD1CE5">
        <w:rPr>
          <w:rFonts w:eastAsiaTheme="minorEastAsia"/>
          <w:bCs/>
          <w:iCs/>
          <w:color w:val="auto"/>
          <w:sz w:val="22"/>
        </w:rPr>
        <w:t>2</w:t>
      </w:r>
      <w:r w:rsidR="001D5499">
        <w:rPr>
          <w:rFonts w:eastAsiaTheme="minorEastAsia"/>
          <w:bCs/>
          <w:iCs/>
          <w:color w:val="auto"/>
          <w:sz w:val="22"/>
        </w:rPr>
        <w:t>6</w:t>
      </w:r>
      <w:r w:rsidR="00AB4A86" w:rsidRPr="00FD1CE5">
        <w:rPr>
          <w:rFonts w:eastAsiaTheme="minorEastAsia"/>
          <w:bCs/>
          <w:iCs/>
          <w:color w:val="auto"/>
          <w:sz w:val="22"/>
        </w:rPr>
        <w:t>.04.2024</w:t>
      </w:r>
    </w:p>
    <w:p w14:paraId="2EDEEAE6" w14:textId="3F11A9D1" w:rsidR="00187782" w:rsidRPr="00E507CD" w:rsidRDefault="009F38E5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Дата начала размещения Облигаций может быть перенесена (изменена) решением единоличного исполнительного органа Эмитента, при условии соблюдения требований к порядку раскрытия информации об изменении даты начала размещения Облигаций, определенному законодательством Российской Федерации</w:t>
      </w:r>
      <w:r w:rsidR="009824F2" w:rsidRPr="00E507CD">
        <w:rPr>
          <w:sz w:val="22"/>
        </w:rPr>
        <w:t>, а также внесения соответствующих изменений в настоящий документ.</w:t>
      </w:r>
      <w:r w:rsidR="00351F0A" w:rsidRPr="00E507CD">
        <w:rPr>
          <w:sz w:val="22"/>
        </w:rPr>
        <w:t xml:space="preserve"> </w:t>
      </w:r>
    </w:p>
    <w:p w14:paraId="66BC4843" w14:textId="77777777" w:rsidR="009F38E5" w:rsidRPr="00E507CD" w:rsidRDefault="009F38E5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</w:p>
    <w:p w14:paraId="43875BA3" w14:textId="77777777" w:rsidR="002F05C4" w:rsidRPr="00FD1CE5" w:rsidRDefault="002F05C4" w:rsidP="002F05C4">
      <w:pPr>
        <w:tabs>
          <w:tab w:val="left" w:pos="284"/>
        </w:tabs>
        <w:spacing w:after="0" w:line="240" w:lineRule="auto"/>
        <w:rPr>
          <w:rFonts w:eastAsiaTheme="minorEastAsia"/>
          <w:bCs/>
          <w:iCs/>
          <w:color w:val="auto"/>
          <w:sz w:val="22"/>
        </w:rPr>
      </w:pPr>
      <w:r w:rsidRPr="00FD1CE5">
        <w:rPr>
          <w:rFonts w:eastAsiaTheme="minorEastAsia"/>
          <w:bCs/>
          <w:iCs/>
          <w:color w:val="auto"/>
          <w:sz w:val="22"/>
        </w:rPr>
        <w:t>Датой окончания размещения Облигаций является более ранняя из следующих дат:</w:t>
      </w:r>
    </w:p>
    <w:p w14:paraId="3AD34FC3" w14:textId="77777777" w:rsidR="002F05C4" w:rsidRPr="00FD1CE5" w:rsidRDefault="002F05C4" w:rsidP="002F05C4">
      <w:pPr>
        <w:tabs>
          <w:tab w:val="left" w:pos="284"/>
        </w:tabs>
        <w:spacing w:after="0" w:line="240" w:lineRule="auto"/>
        <w:ind w:firstLine="567"/>
        <w:rPr>
          <w:rFonts w:eastAsiaTheme="minorEastAsia"/>
          <w:bCs/>
          <w:iCs/>
          <w:color w:val="auto"/>
          <w:sz w:val="22"/>
        </w:rPr>
      </w:pPr>
      <w:r w:rsidRPr="00FD1CE5">
        <w:rPr>
          <w:rFonts w:eastAsiaTheme="minorEastAsia"/>
          <w:bCs/>
          <w:iCs/>
          <w:color w:val="auto"/>
          <w:sz w:val="22"/>
        </w:rPr>
        <w:t>а) дата размещения последней Облигации, или</w:t>
      </w:r>
    </w:p>
    <w:p w14:paraId="51ABF9A2" w14:textId="57A7B39F" w:rsidR="00E1135E" w:rsidRPr="00E507CD" w:rsidRDefault="002F05C4" w:rsidP="002F05C4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FD1CE5">
        <w:rPr>
          <w:rFonts w:eastAsiaTheme="minorEastAsia"/>
          <w:bCs/>
          <w:iCs/>
          <w:color w:val="auto"/>
          <w:sz w:val="22"/>
        </w:rPr>
        <w:t>б) 3 (Третий) рабочий день с даты начала размещения Облигаций.</w:t>
      </w:r>
      <w:r w:rsidRPr="00E507CD">
        <w:rPr>
          <w:sz w:val="22"/>
        </w:rPr>
        <w:t xml:space="preserve"> </w:t>
      </w:r>
      <w:r w:rsidR="00E1135E" w:rsidRPr="00E507CD">
        <w:rPr>
          <w:sz w:val="22"/>
        </w:rPr>
        <w:t xml:space="preserve"> </w:t>
      </w:r>
    </w:p>
    <w:p w14:paraId="0C7CAFF7" w14:textId="77777777" w:rsidR="00F078BC" w:rsidRPr="00E507CD" w:rsidRDefault="00F078BC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</w:p>
    <w:p w14:paraId="4E3CF685" w14:textId="6021D1DB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 Порядок приобретения ценных бумаг при их размещении</w:t>
      </w:r>
    </w:p>
    <w:p w14:paraId="13CA1B85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</w:p>
    <w:p w14:paraId="4B8E7091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4.1. Способ размещения ценных бумаг: открытая или закрытая подписка</w:t>
      </w:r>
    </w:p>
    <w:p w14:paraId="32814DCF" w14:textId="7B685D85" w:rsidR="00187782" w:rsidRPr="00E507CD" w:rsidRDefault="009F38E5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 xml:space="preserve">Закрытая </w:t>
      </w:r>
      <w:r w:rsidR="00187782" w:rsidRPr="00E507CD">
        <w:rPr>
          <w:sz w:val="22"/>
        </w:rPr>
        <w:t>подписка.</w:t>
      </w:r>
    </w:p>
    <w:p w14:paraId="323DD2E2" w14:textId="3580CC73" w:rsidR="00A05ED0" w:rsidRPr="00E507CD" w:rsidRDefault="008E2E93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B02F01">
        <w:rPr>
          <w:bCs/>
          <w:iCs/>
          <w:sz w:val="22"/>
        </w:rPr>
        <w:t>Круг потенциальных приобретателей Облигаций: квалифицированные инвесторы – юридические лица.</w:t>
      </w:r>
    </w:p>
    <w:p w14:paraId="37589B5A" w14:textId="6E51EB09" w:rsidR="00D878B9" w:rsidRPr="00E507CD" w:rsidRDefault="00D878B9" w:rsidP="00D878B9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color w:val="auto"/>
          <w:sz w:val="22"/>
          <w:lang w:eastAsia="en-US"/>
        </w:rPr>
      </w:pPr>
      <w:r w:rsidRPr="00E507CD">
        <w:rPr>
          <w:rFonts w:eastAsiaTheme="minorHAnsi"/>
          <w:color w:val="auto"/>
          <w:sz w:val="22"/>
          <w:lang w:eastAsia="en-US"/>
        </w:rPr>
        <w:t>Закрытая подписка на Облигации не осуществляется на основании соглашения (соглашений) Эмитента и потенциального приобретателя (приобретателей) Облигаций о замене первоначального обязательства (обязательств), существовавшего между ними, договором (договорами) займа, заключенного путем выпуска и продажи облигаций.</w:t>
      </w:r>
    </w:p>
    <w:p w14:paraId="7E696201" w14:textId="77777777" w:rsidR="00A05ED0" w:rsidRPr="00E507CD" w:rsidRDefault="00A05ED0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</w:p>
    <w:p w14:paraId="098016F6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4.2. Порядок размещения ценных бумаг</w:t>
      </w:r>
    </w:p>
    <w:p w14:paraId="0A16ED24" w14:textId="2C944303" w:rsidR="00D1795D" w:rsidRPr="00E507CD" w:rsidRDefault="00187782" w:rsidP="00D1795D">
      <w:pPr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 xml:space="preserve">4.2.1. </w:t>
      </w:r>
      <w:r w:rsidR="00D1795D" w:rsidRPr="00E507CD">
        <w:rPr>
          <w:b w:val="0"/>
          <w:i w:val="0"/>
          <w:sz w:val="22"/>
        </w:rPr>
        <w:t>Указываются порядок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дата (порядок определения даты) их заключения, а в случае, если заключение договоров осуществляется посредством подачи и удовлетворения заявок,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заявок).</w:t>
      </w:r>
    </w:p>
    <w:p w14:paraId="671A4BBA" w14:textId="7CBE6EC6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Внебиржевое размещение Облигаций осуществляется путем заключения и исполнения соответствующего договора на приобретение Облигаций (далее – Договор, Договор купли-продажи), заключаемого Эмитентом с приобретателем, (далее –</w:t>
      </w:r>
      <w:r w:rsidR="00F3672A">
        <w:rPr>
          <w:sz w:val="22"/>
        </w:rPr>
        <w:t xml:space="preserve"> </w:t>
      </w:r>
      <w:r w:rsidRPr="00B02F01">
        <w:rPr>
          <w:sz w:val="22"/>
        </w:rPr>
        <w:t>Приобретатель), в письменной форме путем составления документа в единой форме, подписанного сторонами, после достижения ими соглашения по всем существенным условиям такого Договора (момент заключения Договора).</w:t>
      </w:r>
    </w:p>
    <w:p w14:paraId="0E472224" w14:textId="2D53C9F6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lastRenderedPageBreak/>
        <w:t xml:space="preserve">Заключение Договора купли-продажи производится в рабочие дни с </w:t>
      </w:r>
      <w:r w:rsidR="009E79FE">
        <w:rPr>
          <w:sz w:val="22"/>
        </w:rPr>
        <w:t>10</w:t>
      </w:r>
      <w:r w:rsidRPr="00B02F01">
        <w:rPr>
          <w:sz w:val="22"/>
        </w:rPr>
        <w:t xml:space="preserve">-00 часов до 19-00 часов по следующему адресу: </w:t>
      </w:r>
      <w:r w:rsidR="009E79FE" w:rsidRPr="009E79FE">
        <w:rPr>
          <w:sz w:val="22"/>
        </w:rPr>
        <w:t>пр-т Андропова, д. 18, корп. 1, г. Москва, Россия, 115035</w:t>
      </w:r>
      <w:r w:rsidRPr="00B02F01">
        <w:rPr>
          <w:sz w:val="22"/>
        </w:rPr>
        <w:t>. Местом заключения Договора является г. Москва.</w:t>
      </w:r>
    </w:p>
    <w:p w14:paraId="071C04D9" w14:textId="0EAD27F9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Приобретаемые Облигации должны быть полностью оплачены не позднее срока,</w:t>
      </w:r>
      <w:r>
        <w:rPr>
          <w:sz w:val="22"/>
        </w:rPr>
        <w:t xml:space="preserve"> </w:t>
      </w:r>
      <w:r w:rsidRPr="00B02F01">
        <w:rPr>
          <w:sz w:val="22"/>
        </w:rPr>
        <w:t>предусмотренного Договором купли-продажи, который не может наступать позже Даты окончания размещения Облигаций. В случае если в указанный срок обязательство по оплате приобретаемых Облигаций не будет исполнено, Эмитент имеет право отказаться от исполнения встречного обязательства по передаче Облигаций потенциальному приобретателю.</w:t>
      </w:r>
    </w:p>
    <w:p w14:paraId="716C0DF6" w14:textId="746A856B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Изменение и/или расторжение Договора, заключенного при размещении Облигаций, осуществляется по основаниям и в порядке, предусмотренном гл. 29 Гражданского кодекса РФ.</w:t>
      </w:r>
    </w:p>
    <w:p w14:paraId="59609884" w14:textId="77777777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Возможность преимущественного приобретения Облигаций не предусмотрена.</w:t>
      </w:r>
    </w:p>
    <w:p w14:paraId="549A351B" w14:textId="1E7E555C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Для совершения сделки купли-продажи Облигаций при их размещении потенциальный приобретатель Облигаций обязан заранее (до Даты начала размещения) открыть соответствующий счет депо в НРД или в ином депозитарии, осуществляющем учет прав на Облигации (далее – Депозитарий»). Порядок и сроки открытия счетов депо определяются положениями регламентов соответствующих Депозитариев.</w:t>
      </w:r>
    </w:p>
    <w:p w14:paraId="77E827F7" w14:textId="12435C6B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Приобретение и отчуждение ценных бумаг, предназначенных для квалифицированных инвесторов, может осуществляться только через брокеров. Настоящее правило не распространяется на квалифицированных инвесторов, являющихся таковыми в силу федерального закона, при совершении ими указанных сделок, а также на случаи, когда лицо приобрело указанные ценные бумаги в результате универсального правопреемства, конвертации, в том числе при реорганизации, распределения имущества ликвидируемого юридического лица, и на иные случаи, установленные Банком России.</w:t>
      </w:r>
    </w:p>
    <w:p w14:paraId="23B49E5E" w14:textId="55095ADE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В случае если потенциальный приобретатель Облигаций является квалифицированным инвестором не в силу федерального закона (т.е. признан квалифицированным инвестором в соответствии с пунктами 4 и 5 статьи 51.2 Закона «О рынке ценных бумаг»), при приобретении Облигаций в ходе размещения он должен заключить соответствующий договор с брокером, который будет действовать в интересах такого потенциального приобретателя, и дать ему поручение на приобретение Облигаций с учетом порядка приобретения, указанного ниже.</w:t>
      </w:r>
    </w:p>
    <w:p w14:paraId="334E063A" w14:textId="30717EFB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Приобретение Облигаций в ходе их размещения не может быть осуществлено за счет Эмитента.</w:t>
      </w:r>
    </w:p>
    <w:p w14:paraId="7EC2B03F" w14:textId="2F27175B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Облигации размещаются только среди потенциальных приобретателей, являющихся квалифицированными инвесторами.</w:t>
      </w:r>
    </w:p>
    <w:p w14:paraId="332B36D0" w14:textId="2130C7B9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Облигации отчуждаются с эмиссионного счета Эмитента в НРД не позднее Даты окончания размещения на счет Приобретателя после предоставления Эмитентом в НРД поручения на перевод бумаг по итогам получения средств в рамках заключенных Договоров купли-продажи.</w:t>
      </w:r>
    </w:p>
    <w:p w14:paraId="47D4D312" w14:textId="01EA1201" w:rsidR="00187782" w:rsidRPr="00E507CD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Датой передачи Облигаций в собственность Приобретателя считается дата зачисления Облигаций на счет Приобретателя</w:t>
      </w:r>
      <w:r>
        <w:rPr>
          <w:sz w:val="22"/>
        </w:rPr>
        <w:t>.</w:t>
      </w:r>
    </w:p>
    <w:p w14:paraId="4AB24164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4.2.2. Указывается наличие возможности преимущественного права приобретения размещаемых ценных бумаг, в том числе возможности осуществления преимущественного права приобретения ценных бумаг, предусмотренного статьями 40 и 41 Федерального закона "Об акционерных обществах".</w:t>
      </w:r>
    </w:p>
    <w:p w14:paraId="338369BA" w14:textId="17A36B9E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sz w:val="22"/>
        </w:rPr>
        <w:t xml:space="preserve">Возможность преимущественного приобретения размещаемых </w:t>
      </w:r>
      <w:r w:rsidR="00E5400E" w:rsidRPr="00E507CD">
        <w:rPr>
          <w:sz w:val="22"/>
        </w:rPr>
        <w:t>О</w:t>
      </w:r>
      <w:r w:rsidRPr="00E507CD">
        <w:rPr>
          <w:sz w:val="22"/>
        </w:rPr>
        <w:t xml:space="preserve">блигаций </w:t>
      </w:r>
      <w:r w:rsidR="00124B04" w:rsidRPr="00E507CD">
        <w:rPr>
          <w:sz w:val="22"/>
        </w:rPr>
        <w:t>отсутствует</w:t>
      </w:r>
      <w:r w:rsidRPr="00E507CD">
        <w:rPr>
          <w:sz w:val="22"/>
        </w:rPr>
        <w:t xml:space="preserve">. </w:t>
      </w:r>
    </w:p>
    <w:p w14:paraId="537BDA96" w14:textId="77777777" w:rsidR="00187782" w:rsidRPr="00E507CD" w:rsidRDefault="00187782" w:rsidP="00187782">
      <w:pPr>
        <w:spacing w:after="0" w:line="240" w:lineRule="auto"/>
        <w:ind w:left="428" w:firstLine="567"/>
        <w:jc w:val="left"/>
        <w:rPr>
          <w:sz w:val="22"/>
        </w:rPr>
      </w:pPr>
    </w:p>
    <w:p w14:paraId="517D9A69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4.2.3. Указываются лицо, которому эмитент выдает (направляет) распоряжение (поручение), являющееся основанием для внесения приходных записей по лицевым счетам (счетам депо) первых владельцев и (или) номинальных держателей, срок и иные условия направления распоряжения (поручения).</w:t>
      </w:r>
    </w:p>
    <w:p w14:paraId="5A9999E4" w14:textId="736454ED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sz w:val="22"/>
        </w:rPr>
        <w:t xml:space="preserve">Внесение приходных записей по лицевым счетам (счетам депо) первых владельцев и (или) номинальных держателей </w:t>
      </w:r>
      <w:r w:rsidR="00E5400E" w:rsidRPr="00E507CD">
        <w:rPr>
          <w:sz w:val="22"/>
        </w:rPr>
        <w:t>О</w:t>
      </w:r>
      <w:r w:rsidRPr="00E507CD">
        <w:rPr>
          <w:sz w:val="22"/>
        </w:rPr>
        <w:t xml:space="preserve">блигаций осуществляет: </w:t>
      </w:r>
    </w:p>
    <w:p w14:paraId="51B1A14F" w14:textId="77777777" w:rsidR="00187782" w:rsidRPr="00E507CD" w:rsidRDefault="00187782" w:rsidP="00187782">
      <w:pPr>
        <w:spacing w:after="0" w:line="240" w:lineRule="auto"/>
        <w:ind w:firstLine="567"/>
        <w:jc w:val="left"/>
        <w:rPr>
          <w:sz w:val="22"/>
        </w:rPr>
      </w:pPr>
    </w:p>
    <w:p w14:paraId="2686399B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 xml:space="preserve">Полное фирменное наименование: </w:t>
      </w:r>
      <w:r w:rsidRPr="00E507CD">
        <w:rPr>
          <w:sz w:val="22"/>
        </w:rPr>
        <w:t>Небанковская кредитная организация акционерное общество «Национальный расчетный депозитарий»</w:t>
      </w:r>
      <w:r w:rsidRPr="00E507CD">
        <w:rPr>
          <w:b w:val="0"/>
          <w:i w:val="0"/>
          <w:sz w:val="22"/>
        </w:rPr>
        <w:t xml:space="preserve"> </w:t>
      </w:r>
    </w:p>
    <w:p w14:paraId="065CA3FD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Сокращенное фирменное наименование: </w:t>
      </w:r>
      <w:r w:rsidRPr="00E507CD">
        <w:rPr>
          <w:sz w:val="22"/>
        </w:rPr>
        <w:t>НКО АО НРД</w:t>
      </w:r>
      <w:r w:rsidRPr="00E507CD">
        <w:rPr>
          <w:b w:val="0"/>
          <w:i w:val="0"/>
          <w:sz w:val="22"/>
        </w:rPr>
        <w:t xml:space="preserve"> </w:t>
      </w:r>
    </w:p>
    <w:p w14:paraId="2B0BC8A0" w14:textId="77777777" w:rsidR="00187782" w:rsidRPr="00E507CD" w:rsidRDefault="00187782" w:rsidP="00187782">
      <w:pPr>
        <w:spacing w:after="0" w:line="240" w:lineRule="auto"/>
        <w:ind w:left="-15" w:right="2053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 xml:space="preserve">Место нахождения: </w:t>
      </w:r>
      <w:r w:rsidRPr="00E507CD">
        <w:rPr>
          <w:sz w:val="22"/>
        </w:rPr>
        <w:t>Российская Федерация. город Москва</w:t>
      </w:r>
    </w:p>
    <w:p w14:paraId="7E1C5FF0" w14:textId="77777777" w:rsidR="00187782" w:rsidRPr="00E507CD" w:rsidRDefault="00187782" w:rsidP="00187782">
      <w:pPr>
        <w:spacing w:after="0" w:line="240" w:lineRule="auto"/>
        <w:ind w:left="-15" w:right="2053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Почтовый адрес: </w:t>
      </w:r>
      <w:r w:rsidRPr="00E507CD">
        <w:rPr>
          <w:sz w:val="22"/>
        </w:rPr>
        <w:t>105066, г. Москва, ул. Спартаковская, дом 12</w:t>
      </w:r>
      <w:r w:rsidRPr="00E507CD">
        <w:rPr>
          <w:b w:val="0"/>
          <w:i w:val="0"/>
          <w:sz w:val="22"/>
        </w:rPr>
        <w:t xml:space="preserve"> </w:t>
      </w:r>
    </w:p>
    <w:p w14:paraId="219974C6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ИНН: </w:t>
      </w:r>
      <w:r w:rsidRPr="00E507CD">
        <w:rPr>
          <w:sz w:val="22"/>
        </w:rPr>
        <w:t>7702165310</w:t>
      </w:r>
      <w:r w:rsidRPr="00E507CD">
        <w:rPr>
          <w:b w:val="0"/>
          <w:i w:val="0"/>
          <w:sz w:val="22"/>
        </w:rPr>
        <w:t xml:space="preserve"> </w:t>
      </w:r>
    </w:p>
    <w:p w14:paraId="4C6A3A30" w14:textId="77777777" w:rsidR="00187782" w:rsidRPr="00E507CD" w:rsidRDefault="00187782" w:rsidP="00187782">
      <w:pPr>
        <w:spacing w:after="0" w:line="240" w:lineRule="auto"/>
        <w:ind w:left="-15" w:right="3063" w:firstLine="567"/>
        <w:rPr>
          <w:sz w:val="22"/>
        </w:rPr>
      </w:pPr>
    </w:p>
    <w:p w14:paraId="1E79587A" w14:textId="557E6B9C" w:rsidR="00EE5476" w:rsidRPr="00EE5476" w:rsidRDefault="00EE5476" w:rsidP="00EE5476">
      <w:pPr>
        <w:spacing w:after="0" w:line="240" w:lineRule="auto"/>
        <w:ind w:left="-15" w:right="1" w:firstLine="567"/>
        <w:rPr>
          <w:sz w:val="22"/>
        </w:rPr>
      </w:pPr>
      <w:r w:rsidRPr="00EE5476">
        <w:rPr>
          <w:sz w:val="22"/>
        </w:rPr>
        <w:t>Приходная запись по счету депо первого приобретателя в НРД вносится на основании поручений Эмитента в соответствии с условиями осуществления депозитарной деятельности НРД.</w:t>
      </w:r>
    </w:p>
    <w:p w14:paraId="6BF3A90D" w14:textId="2C8BD3F5" w:rsidR="00EE5476" w:rsidRPr="00EE5476" w:rsidRDefault="00EE5476" w:rsidP="00EE5476">
      <w:pPr>
        <w:spacing w:after="0" w:line="240" w:lineRule="auto"/>
        <w:ind w:left="-15" w:right="1" w:firstLine="567"/>
        <w:rPr>
          <w:sz w:val="22"/>
        </w:rPr>
      </w:pPr>
      <w:r w:rsidRPr="00EE5476">
        <w:rPr>
          <w:sz w:val="22"/>
        </w:rPr>
        <w:t xml:space="preserve">Размещенные Облигации зачисляются Депозитариями на счета депо приобретателей Облигаций в соответствии с условиями осуществления депозитарной деятельности Депозитариев. Датой </w:t>
      </w:r>
      <w:r w:rsidRPr="00EE5476">
        <w:rPr>
          <w:sz w:val="22"/>
        </w:rPr>
        <w:lastRenderedPageBreak/>
        <w:t>внесения приходной записи по счету депо первого владельца в депозитарии является дата исполнения соответствующего поручения депо в НРД или Депозитарии. Все расходы, связанные с внесением приходных записей о зачислении размещаемых Облигаций на счета депо их первых владельцев (приобретателей) несут владельцы (приобретатели) таких Облигаций.</w:t>
      </w:r>
    </w:p>
    <w:p w14:paraId="22472479" w14:textId="76A803B0" w:rsidR="00187782" w:rsidRPr="00E507CD" w:rsidRDefault="00EE5476" w:rsidP="00EE5476">
      <w:pPr>
        <w:spacing w:after="0" w:line="240" w:lineRule="auto"/>
        <w:ind w:left="-15" w:right="1" w:firstLine="567"/>
        <w:rPr>
          <w:sz w:val="22"/>
        </w:rPr>
      </w:pPr>
      <w:r w:rsidRPr="00EE5476">
        <w:rPr>
          <w:sz w:val="22"/>
        </w:rPr>
        <w:t xml:space="preserve">Срок и иные условия учета прав на </w:t>
      </w:r>
      <w:r w:rsidR="006C57BC">
        <w:rPr>
          <w:sz w:val="22"/>
        </w:rPr>
        <w:t>О</w:t>
      </w:r>
      <w:r w:rsidRPr="00EE5476">
        <w:rPr>
          <w:sz w:val="22"/>
        </w:rPr>
        <w:t>блигации регулируется Законом «О рынке ценных бумаг», а также иными нормативными правовыми актами Российской Федерации и внутренними документами депозитария.</w:t>
      </w:r>
    </w:p>
    <w:p w14:paraId="1E4EF20D" w14:textId="77777777" w:rsidR="00187782" w:rsidRPr="00E507CD" w:rsidRDefault="00187782" w:rsidP="00187782">
      <w:pPr>
        <w:spacing w:after="0" w:line="240" w:lineRule="auto"/>
        <w:ind w:left="428" w:firstLine="567"/>
        <w:jc w:val="left"/>
        <w:rPr>
          <w:sz w:val="22"/>
        </w:rPr>
      </w:pPr>
    </w:p>
    <w:p w14:paraId="55A8AA1F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4.2.4. В случае размещения акционерным обществом акций, ценных бумаг, конвертируемых в акции,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</w:t>
      </w:r>
      <w:r w:rsidRPr="00E507CD">
        <w:rPr>
          <w:sz w:val="22"/>
        </w:rPr>
        <w:t xml:space="preserve"> Не применимо. </w:t>
      </w:r>
    </w:p>
    <w:p w14:paraId="42935974" w14:textId="77777777" w:rsidR="00187782" w:rsidRPr="00E507CD" w:rsidRDefault="00187782" w:rsidP="00187782">
      <w:pPr>
        <w:spacing w:after="0" w:line="240" w:lineRule="auto"/>
        <w:ind w:left="428" w:firstLine="567"/>
        <w:jc w:val="left"/>
        <w:rPr>
          <w:sz w:val="22"/>
        </w:rPr>
      </w:pPr>
      <w:r w:rsidRPr="00E507CD">
        <w:rPr>
          <w:sz w:val="22"/>
        </w:rPr>
        <w:t xml:space="preserve"> </w:t>
      </w:r>
    </w:p>
    <w:p w14:paraId="442F55D9" w14:textId="7F21C031" w:rsidR="00187782" w:rsidRPr="00E507CD" w:rsidRDefault="00187782" w:rsidP="00EE5476">
      <w:pPr>
        <w:spacing w:after="0" w:line="240" w:lineRule="auto"/>
        <w:ind w:firstLine="567"/>
        <w:rPr>
          <w:sz w:val="22"/>
        </w:rPr>
      </w:pPr>
      <w:r w:rsidRPr="00E507CD">
        <w:rPr>
          <w:b w:val="0"/>
          <w:i w:val="0"/>
          <w:sz w:val="22"/>
        </w:rPr>
        <w:t>4.2.5. В случае если ценные бумаги размещаются посредством подписки путем проведения торгов, указываются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 нахождения и основной государственный регистрационный номер.</w:t>
      </w:r>
      <w:r w:rsidR="00EE5476">
        <w:rPr>
          <w:b w:val="0"/>
          <w:i w:val="0"/>
          <w:sz w:val="22"/>
        </w:rPr>
        <w:t xml:space="preserve"> </w:t>
      </w:r>
      <w:r w:rsidR="00EE5476" w:rsidRPr="00EE5476">
        <w:rPr>
          <w:sz w:val="22"/>
        </w:rPr>
        <w:t>Облигации размещаются без проведения торгов.</w:t>
      </w:r>
      <w:r w:rsidRPr="00E507CD">
        <w:rPr>
          <w:sz w:val="22"/>
        </w:rPr>
        <w:t xml:space="preserve"> </w:t>
      </w:r>
    </w:p>
    <w:p w14:paraId="66FD42AB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1CF375FC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4.2.6. В случае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указывается порядок заключения таких предварительных договоров или порядок подачи и сбора таких предварительных заявок.</w:t>
      </w:r>
    </w:p>
    <w:p w14:paraId="64E66789" w14:textId="0BF46E2E" w:rsidR="00FE5643" w:rsidRPr="00E507CD" w:rsidRDefault="00857C5F" w:rsidP="00FE5643">
      <w:pPr>
        <w:ind w:firstLine="567"/>
        <w:rPr>
          <w:sz w:val="22"/>
        </w:rPr>
      </w:pPr>
      <w:r>
        <w:rPr>
          <w:sz w:val="22"/>
        </w:rPr>
        <w:t>Не применимо.</w:t>
      </w:r>
    </w:p>
    <w:p w14:paraId="418E6212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0E5524E2" w14:textId="3F0F6C79" w:rsidR="00187782" w:rsidRPr="00E507CD" w:rsidRDefault="00187782" w:rsidP="00187782">
      <w:pPr>
        <w:adjustRightInd w:val="0"/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4.2.7. В случае если размещение ценных бумаг осуществляется эмитентом с привлечением брокеров, оказывающих эмитенту услуги по размещению и (или) по организации размещения ценных бумаг (включая консультационные услуги, а также услуги, связанные с приобретением брокером за свой счет размещаемых ценных бумаг), по каждому такому лицу указываются:</w:t>
      </w:r>
      <w:r w:rsidR="00857C5F">
        <w:rPr>
          <w:b w:val="0"/>
          <w:i w:val="0"/>
          <w:sz w:val="22"/>
        </w:rPr>
        <w:t xml:space="preserve"> </w:t>
      </w:r>
    </w:p>
    <w:p w14:paraId="29F029DC" w14:textId="19425250" w:rsidR="00415515" w:rsidRPr="00E507CD" w:rsidRDefault="00857C5F" w:rsidP="00187782">
      <w:pPr>
        <w:adjustRightInd w:val="0"/>
        <w:spacing w:after="0" w:line="240" w:lineRule="auto"/>
        <w:ind w:firstLine="567"/>
        <w:rPr>
          <w:b w:val="0"/>
          <w:bCs/>
          <w:i w:val="0"/>
          <w:iCs/>
          <w:sz w:val="22"/>
        </w:rPr>
      </w:pPr>
      <w:r>
        <w:rPr>
          <w:sz w:val="22"/>
        </w:rPr>
        <w:t>Размещение Облигаций осуществляется Эмитентом самостоятельно, без привлечения профессионального участника рынка ценных бумаг, оказывающего Эмитенту услуги по размещению и организации размещения ценных бумаг.</w:t>
      </w:r>
    </w:p>
    <w:p w14:paraId="16A39990" w14:textId="77777777" w:rsidR="00B629F0" w:rsidRPr="00E507CD" w:rsidRDefault="00B629F0" w:rsidP="00187782">
      <w:pPr>
        <w:spacing w:after="0" w:line="240" w:lineRule="auto"/>
        <w:ind w:firstLine="0"/>
        <w:rPr>
          <w:sz w:val="22"/>
        </w:rPr>
      </w:pPr>
    </w:p>
    <w:p w14:paraId="58D14650" w14:textId="133F00E6" w:rsidR="003C6A7C" w:rsidRDefault="00187782" w:rsidP="003C6A7C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4.2.8. В случае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данное обстоятельство: </w:t>
      </w:r>
      <w:r w:rsidR="003C6A7C" w:rsidRPr="003C6A7C">
        <w:rPr>
          <w:sz w:val="22"/>
        </w:rPr>
        <w:t xml:space="preserve">Размещение </w:t>
      </w:r>
      <w:r w:rsidR="003C6A7C">
        <w:rPr>
          <w:sz w:val="22"/>
        </w:rPr>
        <w:t>О</w:t>
      </w:r>
      <w:r w:rsidR="003C6A7C" w:rsidRPr="003C6A7C">
        <w:rPr>
          <w:sz w:val="22"/>
        </w:rPr>
        <w:t xml:space="preserve">блигаций не предполагается осуществлять за пределами Российской Федерации. </w:t>
      </w:r>
    </w:p>
    <w:p w14:paraId="1CFC60CE" w14:textId="77777777" w:rsidR="003C6A7C" w:rsidRDefault="003C6A7C" w:rsidP="003C6A7C">
      <w:pPr>
        <w:spacing w:after="0" w:line="240" w:lineRule="auto"/>
        <w:ind w:left="-15" w:firstLine="567"/>
        <w:rPr>
          <w:sz w:val="22"/>
        </w:rPr>
      </w:pPr>
    </w:p>
    <w:p w14:paraId="1AE658BB" w14:textId="6F83590E" w:rsidR="00187782" w:rsidRPr="00E507CD" w:rsidRDefault="003C6A7C" w:rsidP="003C6A7C">
      <w:pPr>
        <w:spacing w:after="0" w:line="240" w:lineRule="auto"/>
        <w:ind w:left="-15" w:firstLine="567"/>
        <w:rPr>
          <w:sz w:val="22"/>
        </w:rPr>
      </w:pPr>
      <w:r w:rsidRPr="003C6A7C">
        <w:rPr>
          <w:b w:val="0"/>
          <w:i w:val="0"/>
          <w:sz w:val="22"/>
        </w:rPr>
        <w:t xml:space="preserve">При наличии у эмитента сведений о намерении владельцев ранее размещенных (находящихся в обращении) ценных бумаг того же вида, категории (типа) одновременно с размещением ценных бумаг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 указываются: </w:t>
      </w:r>
      <w:r w:rsidRPr="003C6A7C">
        <w:rPr>
          <w:sz w:val="22"/>
        </w:rPr>
        <w:t>не планируется.</w:t>
      </w:r>
    </w:p>
    <w:p w14:paraId="11E6C019" w14:textId="77777777" w:rsidR="00187782" w:rsidRPr="00E507CD" w:rsidRDefault="00187782" w:rsidP="00187782">
      <w:pPr>
        <w:spacing w:after="0" w:line="240" w:lineRule="auto"/>
        <w:ind w:firstLine="0"/>
        <w:jc w:val="left"/>
        <w:rPr>
          <w:sz w:val="22"/>
        </w:rPr>
      </w:pPr>
    </w:p>
    <w:p w14:paraId="5C644178" w14:textId="59269CF6" w:rsidR="00187782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4.2.9. В случае если эмитент в соответствии с Федеральным законом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является хозяйственным обществом, имеющим стратегическое значение для обеспечения обороны страны и безопасности государства, указывается данное обстоятельство, а также приводятся основания признания эмитента таким хозяйственным обществом: </w:t>
      </w:r>
      <w:r w:rsidRPr="00E507CD">
        <w:rPr>
          <w:sz w:val="22"/>
        </w:rPr>
        <w:t>Эмитент не является хозяйственным обществом, имеющим стратегическое значение для обеспечения обороны страны и безопасности государства в соответствии с Федеральным законом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39607CAF" w14:textId="77777777" w:rsidR="005863E7" w:rsidRPr="00E507CD" w:rsidRDefault="005863E7" w:rsidP="00187782">
      <w:pPr>
        <w:spacing w:after="0" w:line="240" w:lineRule="auto"/>
        <w:ind w:left="-15" w:firstLine="567"/>
        <w:rPr>
          <w:sz w:val="22"/>
        </w:rPr>
      </w:pPr>
    </w:p>
    <w:p w14:paraId="0D306FE3" w14:textId="448ADDB1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В случае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"О порядке осуществления иностранных инвестиций в хозяйственные общества, имеющие стратегическое </w:t>
      </w:r>
      <w:r w:rsidRPr="00E507CD">
        <w:rPr>
          <w:b w:val="0"/>
          <w:i w:val="0"/>
          <w:sz w:val="22"/>
        </w:rPr>
        <w:lastRenderedPageBreak/>
        <w:t>значение для обеспечения обороны страны и безопасности государства", указывается данное обстоятельство:</w:t>
      </w:r>
      <w:r w:rsidRPr="00E507CD">
        <w:rPr>
          <w:sz w:val="22"/>
        </w:rPr>
        <w:t xml:space="preserve"> предварительное согласование договоров, направленных на отчуждение </w:t>
      </w:r>
      <w:r w:rsidR="006358A4" w:rsidRPr="00E507CD">
        <w:rPr>
          <w:sz w:val="22"/>
        </w:rPr>
        <w:t>О</w:t>
      </w:r>
      <w:r w:rsidRPr="00E507CD">
        <w:rPr>
          <w:sz w:val="22"/>
        </w:rPr>
        <w:t>блигаций Эмитента, в силу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не требуется.</w:t>
      </w:r>
    </w:p>
    <w:p w14:paraId="16412265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5BD148BE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4.2.10. В случае если приобретение акций кредитной организации или </w:t>
      </w:r>
      <w:proofErr w:type="spellStart"/>
      <w:r w:rsidRPr="00E507CD">
        <w:rPr>
          <w:b w:val="0"/>
          <w:i w:val="0"/>
          <w:sz w:val="22"/>
        </w:rPr>
        <w:t>некредитной</w:t>
      </w:r>
      <w:proofErr w:type="spellEnd"/>
      <w:r w:rsidRPr="00E507CD">
        <w:rPr>
          <w:b w:val="0"/>
          <w:i w:val="0"/>
          <w:sz w:val="22"/>
        </w:rPr>
        <w:t xml:space="preserve">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</w:t>
      </w:r>
      <w:proofErr w:type="spellStart"/>
      <w:r w:rsidRPr="00E507CD">
        <w:rPr>
          <w:b w:val="0"/>
          <w:i w:val="0"/>
          <w:sz w:val="22"/>
        </w:rPr>
        <w:t>некредитной</w:t>
      </w:r>
      <w:proofErr w:type="spellEnd"/>
      <w:r w:rsidRPr="00E507CD">
        <w:rPr>
          <w:b w:val="0"/>
          <w:i w:val="0"/>
          <w:sz w:val="22"/>
        </w:rPr>
        <w:t xml:space="preserve"> финансовой организации - эмитенту документы, подтверждающие получение предварительного (последующего) согласия Банка России на указанное приобретение: </w:t>
      </w:r>
      <w:r w:rsidRPr="00E507CD">
        <w:rPr>
          <w:sz w:val="22"/>
        </w:rPr>
        <w:t xml:space="preserve">Не применимо. </w:t>
      </w:r>
    </w:p>
    <w:p w14:paraId="06E088E1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Указывается на обязанность представления приобретателем ценных бумаг в кредитную организацию или </w:t>
      </w:r>
      <w:proofErr w:type="spellStart"/>
      <w:r w:rsidRPr="00E507CD">
        <w:rPr>
          <w:b w:val="0"/>
          <w:i w:val="0"/>
          <w:sz w:val="22"/>
        </w:rPr>
        <w:t>некредитную</w:t>
      </w:r>
      <w:proofErr w:type="spellEnd"/>
      <w:r w:rsidRPr="00E507CD">
        <w:rPr>
          <w:b w:val="0"/>
          <w:i w:val="0"/>
          <w:sz w:val="22"/>
        </w:rPr>
        <w:t xml:space="preserve"> финансовую организацию - эмитент документов для осуществления оценки его финансового положения (в случае необходимости осуществления такой оценки): </w:t>
      </w:r>
      <w:r w:rsidRPr="00E507CD">
        <w:rPr>
          <w:sz w:val="22"/>
        </w:rPr>
        <w:t xml:space="preserve">Не применимо. </w:t>
      </w:r>
    </w:p>
    <w:p w14:paraId="6EEFC9C5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001C86F4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4.2.11. В случае размещения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наименование, основной государственный регистрационный номер и место нахождения оператора указанной инвестиционной платформы. </w:t>
      </w:r>
    </w:p>
    <w:p w14:paraId="6171DFD5" w14:textId="4F499543" w:rsidR="00187782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sz w:val="22"/>
        </w:rPr>
        <w:t>Размещение ценных бумаг не осуществляется среди инвесторов, являющихся участниками инвестиционной платформы.</w:t>
      </w:r>
    </w:p>
    <w:p w14:paraId="54EFFCF0" w14:textId="15C7559D" w:rsidR="009906AD" w:rsidRDefault="009906AD" w:rsidP="00187782">
      <w:pPr>
        <w:spacing w:after="0" w:line="240" w:lineRule="auto"/>
        <w:ind w:left="-15" w:firstLine="567"/>
        <w:rPr>
          <w:sz w:val="22"/>
        </w:rPr>
      </w:pPr>
    </w:p>
    <w:p w14:paraId="331111B8" w14:textId="77777777" w:rsidR="009906AD" w:rsidRDefault="009906AD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9906AD">
        <w:rPr>
          <w:b w:val="0"/>
          <w:i w:val="0"/>
          <w:sz w:val="22"/>
        </w:rPr>
        <w:t xml:space="preserve">4.2.12. В случае если акции подлежат размещению во исполнение договора конвертируемого займа, указываются реквизиты такого договора, а также информация, которая в соответствии с пунктом 7 статьи 323 Федерального закона «Об акционерных обществах» (Собрание 8 законодательства Российской Федерации, 1996, № 1 ст. 1; 2021, № 27, ст. 5182) подлежит включению в решение об увеличении уставного капитала акционерного общества путем размещения дополнительных акций во исполнение договора конвертируемого займа. </w:t>
      </w:r>
    </w:p>
    <w:p w14:paraId="2CDC063D" w14:textId="3DF31FA0" w:rsidR="009906AD" w:rsidRPr="009906AD" w:rsidRDefault="009906AD" w:rsidP="00187782">
      <w:pPr>
        <w:spacing w:after="0" w:line="240" w:lineRule="auto"/>
        <w:ind w:left="-15" w:firstLine="567"/>
        <w:rPr>
          <w:sz w:val="22"/>
        </w:rPr>
      </w:pPr>
      <w:r w:rsidRPr="009906AD">
        <w:rPr>
          <w:sz w:val="22"/>
        </w:rPr>
        <w:t xml:space="preserve">Не применимо. </w:t>
      </w:r>
    </w:p>
    <w:p w14:paraId="56632AE6" w14:textId="77777777" w:rsidR="009906AD" w:rsidRPr="009906AD" w:rsidRDefault="009906AD" w:rsidP="00187782">
      <w:pPr>
        <w:spacing w:after="0" w:line="240" w:lineRule="auto"/>
        <w:ind w:left="-15" w:firstLine="567"/>
        <w:rPr>
          <w:sz w:val="22"/>
        </w:rPr>
      </w:pPr>
    </w:p>
    <w:p w14:paraId="0CAC02C6" w14:textId="77777777" w:rsidR="009906AD" w:rsidRDefault="009906AD" w:rsidP="00187782">
      <w:pPr>
        <w:spacing w:after="0" w:line="240" w:lineRule="auto"/>
        <w:ind w:left="-15" w:firstLine="567"/>
        <w:rPr>
          <w:sz w:val="22"/>
        </w:rPr>
      </w:pPr>
      <w:r w:rsidRPr="009906AD">
        <w:rPr>
          <w:b w:val="0"/>
          <w:i w:val="0"/>
          <w:sz w:val="22"/>
        </w:rPr>
        <w:t>4.2.13. В случае если осуществление (исполнение) сделки (операции), направленной на отчуждение ценных бумаг эмитента первым владельцам в ходе их размещения, может потребовать получения разрешения, предусмотренного подпунктом «б» и (или) подпунктом «г» пункта 1 Указа Президента Российской Федерации № 81, указывается данное обстоятельство.</w:t>
      </w:r>
      <w:r w:rsidRPr="009906AD">
        <w:rPr>
          <w:sz w:val="22"/>
        </w:rPr>
        <w:t xml:space="preserve"> </w:t>
      </w:r>
    </w:p>
    <w:p w14:paraId="1B2C1405" w14:textId="264A5502" w:rsidR="009906AD" w:rsidRPr="009906AD" w:rsidRDefault="009906AD" w:rsidP="00187782">
      <w:pPr>
        <w:spacing w:after="0" w:line="240" w:lineRule="auto"/>
        <w:ind w:left="-15" w:firstLine="567"/>
        <w:rPr>
          <w:sz w:val="22"/>
        </w:rPr>
      </w:pPr>
      <w:r w:rsidRPr="009906AD">
        <w:rPr>
          <w:sz w:val="22"/>
        </w:rPr>
        <w:t>Не требуется.</w:t>
      </w:r>
    </w:p>
    <w:p w14:paraId="68A4DA20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1750ED7F" w14:textId="77777777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b w:val="0"/>
          <w:i w:val="0"/>
          <w:sz w:val="22"/>
        </w:rPr>
        <w:t>4.3. Цена (цены) или порядок определения цены размещения ценных бумаг</w:t>
      </w:r>
    </w:p>
    <w:p w14:paraId="16B3DBE2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Указывается цена (цены) или порядок определения цены размещения ценных бумаг либо информация о том, что такие цена или порядок ее определения будут установлены уполномоченным органом управления эмитента не позднее даты начала размещения ценных бумаг.</w:t>
      </w:r>
    </w:p>
    <w:p w14:paraId="0CA23C68" w14:textId="1AA369FE" w:rsidR="00D808AF" w:rsidRPr="00FD1CE5" w:rsidRDefault="00D808AF" w:rsidP="00D808AF">
      <w:pPr>
        <w:spacing w:after="0" w:line="240" w:lineRule="auto"/>
        <w:rPr>
          <w:sz w:val="22"/>
        </w:rPr>
      </w:pPr>
      <w:r w:rsidRPr="00FD1CE5">
        <w:rPr>
          <w:sz w:val="22"/>
        </w:rPr>
        <w:t>Цена размещения Облигаций устанавливается равной 10 000 000 (Десять миллионов) российских рублей, что составляет 100% от номинальной стоимости Облигации. Начиная со 2-го (Второго) дня размещения Облигаций покупатель при приобретении Облига</w:t>
      </w:r>
      <w:bookmarkStart w:id="0" w:name="_GoBack"/>
      <w:bookmarkEnd w:id="0"/>
      <w:r w:rsidRPr="00FD1CE5">
        <w:rPr>
          <w:sz w:val="22"/>
        </w:rPr>
        <w:t xml:space="preserve">ций также уплачивает накопленный купонный доход (НКД) по Облигациям, рассчитанный по следующей формуле: </w:t>
      </w:r>
    </w:p>
    <w:p w14:paraId="46F4067F" w14:textId="77777777" w:rsidR="00D808AF" w:rsidRPr="00FD1CE5" w:rsidRDefault="00D808AF" w:rsidP="00D808AF">
      <w:pPr>
        <w:spacing w:after="0" w:line="240" w:lineRule="auto"/>
        <w:ind w:firstLine="709"/>
        <w:rPr>
          <w:sz w:val="22"/>
        </w:rPr>
      </w:pPr>
      <w:r w:rsidRPr="00FD1CE5">
        <w:rPr>
          <w:sz w:val="22"/>
        </w:rPr>
        <w:t xml:space="preserve">НКД = </w:t>
      </w:r>
      <w:proofErr w:type="spellStart"/>
      <w:r w:rsidRPr="00FD1CE5">
        <w:rPr>
          <w:sz w:val="22"/>
        </w:rPr>
        <w:t>Cj</w:t>
      </w:r>
      <w:proofErr w:type="spellEnd"/>
      <w:r w:rsidRPr="00FD1CE5">
        <w:rPr>
          <w:sz w:val="22"/>
        </w:rPr>
        <w:t xml:space="preserve"> * </w:t>
      </w:r>
      <w:proofErr w:type="spellStart"/>
      <w:r w:rsidRPr="00FD1CE5">
        <w:rPr>
          <w:sz w:val="22"/>
        </w:rPr>
        <w:t>Nom</w:t>
      </w:r>
      <w:proofErr w:type="spellEnd"/>
      <w:r w:rsidRPr="00FD1CE5">
        <w:rPr>
          <w:sz w:val="22"/>
        </w:rPr>
        <w:t xml:space="preserve"> * (T - </w:t>
      </w:r>
      <w:proofErr w:type="gramStart"/>
      <w:r w:rsidRPr="00FD1CE5">
        <w:rPr>
          <w:sz w:val="22"/>
        </w:rPr>
        <w:t>T(</w:t>
      </w:r>
      <w:proofErr w:type="gramEnd"/>
      <w:r w:rsidRPr="00FD1CE5">
        <w:rPr>
          <w:sz w:val="22"/>
        </w:rPr>
        <w:t xml:space="preserve">j -1))/ 365/ 100%, где </w:t>
      </w:r>
    </w:p>
    <w:p w14:paraId="1AAA1021" w14:textId="77777777" w:rsidR="00D808AF" w:rsidRPr="00FD1CE5" w:rsidRDefault="00D808AF" w:rsidP="00D808AF">
      <w:pPr>
        <w:spacing w:after="0" w:line="240" w:lineRule="auto"/>
        <w:ind w:firstLine="709"/>
        <w:rPr>
          <w:sz w:val="22"/>
        </w:rPr>
      </w:pPr>
      <w:r w:rsidRPr="00FD1CE5">
        <w:rPr>
          <w:sz w:val="22"/>
        </w:rPr>
        <w:t xml:space="preserve">j - порядковый номер текущего купонного периода; </w:t>
      </w:r>
    </w:p>
    <w:p w14:paraId="09397B3D" w14:textId="77777777" w:rsidR="00D808AF" w:rsidRPr="00FD1CE5" w:rsidRDefault="00D808AF" w:rsidP="00D808AF">
      <w:pPr>
        <w:spacing w:after="0" w:line="240" w:lineRule="auto"/>
        <w:ind w:firstLine="709"/>
        <w:rPr>
          <w:sz w:val="22"/>
        </w:rPr>
      </w:pPr>
      <w:r w:rsidRPr="00FD1CE5">
        <w:rPr>
          <w:sz w:val="22"/>
        </w:rPr>
        <w:t xml:space="preserve">НКД – накопленный купонный доход в рублях Российской Федерации; </w:t>
      </w:r>
    </w:p>
    <w:p w14:paraId="21A17BE4" w14:textId="1D066A89" w:rsidR="00D808AF" w:rsidRPr="00FD1CE5" w:rsidRDefault="00D808AF" w:rsidP="00D808AF">
      <w:pPr>
        <w:spacing w:after="0" w:line="240" w:lineRule="auto"/>
        <w:ind w:firstLine="709"/>
        <w:rPr>
          <w:sz w:val="22"/>
        </w:rPr>
      </w:pPr>
      <w:proofErr w:type="spellStart"/>
      <w:r w:rsidRPr="00FD1CE5">
        <w:rPr>
          <w:sz w:val="22"/>
        </w:rPr>
        <w:t>Nom</w:t>
      </w:r>
      <w:proofErr w:type="spellEnd"/>
      <w:r w:rsidRPr="00FD1CE5">
        <w:rPr>
          <w:sz w:val="22"/>
        </w:rPr>
        <w:t xml:space="preserve"> – номинальная стоимость одной Облигации, а в случае, если обязательства Эмитента по возврату номинальной стоимости владельцам Облигаций были частично прекращены в связи с наступлением любого из Событий прекращения обязательств, указанных в п. 5.8.1. Решения о выпуске, в предыдущих купонных периодах или в течение j-</w:t>
      </w:r>
      <w:proofErr w:type="spellStart"/>
      <w:r w:rsidRPr="00FD1CE5">
        <w:rPr>
          <w:sz w:val="22"/>
        </w:rPr>
        <w:t>го</w:t>
      </w:r>
      <w:proofErr w:type="spellEnd"/>
      <w:r w:rsidRPr="00FD1CE5">
        <w:rPr>
          <w:sz w:val="22"/>
        </w:rPr>
        <w:t xml:space="preserve"> купонного периода, часть номинальной стоимости одной Облигации, обязательства по возврату которой не прекращены на дату Т, в рублях Российской Федерации;</w:t>
      </w:r>
    </w:p>
    <w:p w14:paraId="4B1A9EB0" w14:textId="77777777" w:rsidR="00D808AF" w:rsidRPr="00FD1CE5" w:rsidRDefault="00D808AF" w:rsidP="00D808AF">
      <w:pPr>
        <w:spacing w:after="0" w:line="240" w:lineRule="auto"/>
        <w:ind w:firstLine="709"/>
        <w:rPr>
          <w:sz w:val="22"/>
        </w:rPr>
      </w:pPr>
      <w:proofErr w:type="spellStart"/>
      <w:r w:rsidRPr="00FD1CE5">
        <w:rPr>
          <w:sz w:val="22"/>
        </w:rPr>
        <w:t>Cj</w:t>
      </w:r>
      <w:proofErr w:type="spellEnd"/>
      <w:r w:rsidRPr="00FD1CE5">
        <w:rPr>
          <w:sz w:val="22"/>
        </w:rPr>
        <w:t xml:space="preserve"> - размер процентной ставки j-того купона, в процентах годовых, который не может превышать предельную величину процентной ставки, установленную Положением Банка России №646-П для субординированных займов (облигационных выпусков), или иной процентной ставки, установленной Банком России для инструментов, включаемых в состав источников добавочного капитала кредитной организации;</w:t>
      </w:r>
    </w:p>
    <w:p w14:paraId="57469D01" w14:textId="77777777" w:rsidR="00D808AF" w:rsidRPr="00FD1CE5" w:rsidRDefault="00D808AF" w:rsidP="00D808AF">
      <w:pPr>
        <w:spacing w:after="0" w:line="240" w:lineRule="auto"/>
        <w:ind w:firstLine="709"/>
        <w:rPr>
          <w:sz w:val="22"/>
        </w:rPr>
      </w:pPr>
      <w:proofErr w:type="gramStart"/>
      <w:r w:rsidRPr="00FD1CE5">
        <w:rPr>
          <w:sz w:val="22"/>
        </w:rPr>
        <w:lastRenderedPageBreak/>
        <w:t>T(</w:t>
      </w:r>
      <w:proofErr w:type="gramEnd"/>
      <w:r w:rsidRPr="00FD1CE5">
        <w:rPr>
          <w:sz w:val="22"/>
        </w:rPr>
        <w:t xml:space="preserve">j - 1) - дата окончания (j - 1) купонного периода (для случая первого купонного периода Т (j - 1) – это дата начала размещения Облигаций); </w:t>
      </w:r>
    </w:p>
    <w:p w14:paraId="4B020BC0" w14:textId="77777777" w:rsidR="00D808AF" w:rsidRPr="00FD1CE5" w:rsidRDefault="00D808AF" w:rsidP="00D808AF">
      <w:pPr>
        <w:spacing w:after="0" w:line="240" w:lineRule="auto"/>
        <w:ind w:firstLine="709"/>
        <w:rPr>
          <w:sz w:val="22"/>
        </w:rPr>
      </w:pPr>
      <w:r w:rsidRPr="00FD1CE5">
        <w:rPr>
          <w:sz w:val="22"/>
        </w:rPr>
        <w:t xml:space="preserve">T - дата расчета накопленного купонного дохода внутри j – купонного периода. </w:t>
      </w:r>
    </w:p>
    <w:p w14:paraId="1F63350E" w14:textId="28899D2B" w:rsidR="000B3770" w:rsidRPr="00857C5F" w:rsidRDefault="00D808AF" w:rsidP="00D808AF">
      <w:pPr>
        <w:spacing w:after="0" w:line="240" w:lineRule="auto"/>
        <w:ind w:firstLine="709"/>
        <w:rPr>
          <w:b w:val="0"/>
          <w:i w:val="0"/>
          <w:sz w:val="22"/>
        </w:rPr>
      </w:pPr>
      <w:r w:rsidRPr="00FD1CE5">
        <w:rPr>
          <w:sz w:val="22"/>
        </w:rPr>
        <w:t xml:space="preserve"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</w:t>
      </w:r>
      <w:proofErr w:type="gramStart"/>
      <w:r w:rsidRPr="00FD1CE5">
        <w:rPr>
          <w:sz w:val="22"/>
        </w:rPr>
        <w:t>единицу, в случае, если</w:t>
      </w:r>
      <w:proofErr w:type="gramEnd"/>
      <w:r w:rsidRPr="00FD1CE5">
        <w:rPr>
          <w:sz w:val="22"/>
        </w:rPr>
        <w:t xml:space="preserve"> третий знак после запятой меньше 5, второй знак после запятой не изменяется).</w:t>
      </w:r>
    </w:p>
    <w:p w14:paraId="09D256BD" w14:textId="77777777" w:rsidR="00187782" w:rsidRPr="00857C5F" w:rsidRDefault="00187782" w:rsidP="00187782">
      <w:pPr>
        <w:spacing w:after="0" w:line="240" w:lineRule="auto"/>
        <w:ind w:left="-15" w:firstLine="567"/>
        <w:rPr>
          <w:sz w:val="22"/>
        </w:rPr>
      </w:pPr>
    </w:p>
    <w:p w14:paraId="655637D9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</w:t>
      </w:r>
    </w:p>
    <w:p w14:paraId="37A95999" w14:textId="7BFF77C9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 xml:space="preserve">Преимущественное право приобретения </w:t>
      </w:r>
      <w:r w:rsidR="00620A09" w:rsidRPr="00E507CD">
        <w:rPr>
          <w:sz w:val="22"/>
        </w:rPr>
        <w:t>О</w:t>
      </w:r>
      <w:r w:rsidRPr="00E507CD">
        <w:rPr>
          <w:sz w:val="22"/>
        </w:rPr>
        <w:t xml:space="preserve">блигаций не предоставляется. </w:t>
      </w:r>
    </w:p>
    <w:p w14:paraId="76DF0D48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660D8707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4.4. Порядок осуществления преимущественного права приобретения размещаемых ценных бумаг.</w:t>
      </w:r>
    </w:p>
    <w:p w14:paraId="30020BC2" w14:textId="77777777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Не применимо</w:t>
      </w:r>
    </w:p>
    <w:p w14:paraId="5989E0C0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19800656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4.5. Условия, порядок и срок оплаты ценных бумаг</w:t>
      </w:r>
    </w:p>
    <w:p w14:paraId="5F7FC9E3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4.5.1. Указываются способ оплаты размещаемых ценных бумаг (денежными средствами; денежными средствами, включая возможность оплаты размещаемых ценных бумаг путем зачета денежных требований; неденежными средствами).</w:t>
      </w:r>
    </w:p>
    <w:p w14:paraId="4470EF98" w14:textId="236C7CA6" w:rsidR="00187782" w:rsidRPr="00E507CD" w:rsidRDefault="00857C5F" w:rsidP="00857C5F">
      <w:pPr>
        <w:spacing w:after="0" w:line="240" w:lineRule="auto"/>
        <w:ind w:left="-15" w:firstLine="567"/>
        <w:rPr>
          <w:sz w:val="22"/>
        </w:rPr>
      </w:pPr>
      <w:r w:rsidRPr="00857C5F">
        <w:rPr>
          <w:sz w:val="22"/>
        </w:rPr>
        <w:t>Облигации оплачиваются в денежной форме в безналичном порядке в российских рублях. Возможность рассрочки при оплате Облигаций не предусмотрена.</w:t>
      </w:r>
    </w:p>
    <w:p w14:paraId="3BA463CD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</w:p>
    <w:p w14:paraId="2C957130" w14:textId="3805E95B" w:rsidR="00187782" w:rsidRPr="00E507CD" w:rsidRDefault="00187782" w:rsidP="002A63E9">
      <w:pPr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4.5.2. В случае оплаты размещаемых ценных бумаг</w:t>
      </w:r>
      <w:r w:rsidR="002A63E9">
        <w:rPr>
          <w:b w:val="0"/>
          <w:i w:val="0"/>
          <w:sz w:val="22"/>
        </w:rPr>
        <w:t xml:space="preserve"> </w:t>
      </w:r>
      <w:r w:rsidR="002A63E9" w:rsidRPr="002A63E9">
        <w:rPr>
          <w:b w:val="0"/>
          <w:i w:val="0"/>
          <w:sz w:val="22"/>
        </w:rPr>
        <w:t xml:space="preserve">(за исключением акций, подлежащих размещению во исполнение договора конвертируемого займа) </w:t>
      </w:r>
      <w:r w:rsidRPr="00E507CD">
        <w:rPr>
          <w:b w:val="0"/>
          <w:i w:val="0"/>
          <w:sz w:val="22"/>
        </w:rPr>
        <w:t xml:space="preserve"> денежными средствами указываются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7C23FD60" w14:textId="3FA30354" w:rsidR="00187782" w:rsidRPr="00934B38" w:rsidRDefault="00187782" w:rsidP="00187782">
      <w:pPr>
        <w:spacing w:after="0" w:line="240" w:lineRule="auto"/>
        <w:ind w:firstLine="567"/>
        <w:rPr>
          <w:sz w:val="22"/>
        </w:rPr>
      </w:pPr>
      <w:r w:rsidRPr="00934B38">
        <w:rPr>
          <w:sz w:val="22"/>
        </w:rPr>
        <w:t xml:space="preserve">Форма оплаты: безналичная </w:t>
      </w:r>
    </w:p>
    <w:p w14:paraId="0BBC3BE5" w14:textId="77777777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4F5288F2" w14:textId="77777777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934B38">
        <w:rPr>
          <w:b w:val="0"/>
          <w:i w:val="0"/>
          <w:sz w:val="22"/>
        </w:rPr>
        <w:t>Реквизиты счета, на который должны перечисляться денежные средства в оплату ценных бумаг выпуска:</w:t>
      </w:r>
    </w:p>
    <w:p w14:paraId="2C5C9411" w14:textId="39619483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934B38">
        <w:rPr>
          <w:b w:val="0"/>
          <w:i w:val="0"/>
          <w:sz w:val="22"/>
        </w:rPr>
        <w:t xml:space="preserve">Полное фирменное наименование: </w:t>
      </w:r>
      <w:r w:rsidR="00934B38" w:rsidRPr="00934B38">
        <w:rPr>
          <w:bCs/>
          <w:iCs/>
          <w:sz w:val="22"/>
        </w:rPr>
        <w:t xml:space="preserve">Публичное акционерное общество «МТС-Банк»  </w:t>
      </w:r>
    </w:p>
    <w:p w14:paraId="7D8B77C4" w14:textId="3CA5C36A" w:rsidR="00DE1542" w:rsidRPr="00857C5F" w:rsidRDefault="00187782" w:rsidP="00187782">
      <w:pPr>
        <w:spacing w:after="0" w:line="240" w:lineRule="auto"/>
        <w:ind w:firstLine="567"/>
        <w:rPr>
          <w:bCs/>
          <w:iCs/>
          <w:color w:val="auto"/>
          <w:sz w:val="22"/>
        </w:rPr>
      </w:pPr>
      <w:r w:rsidRPr="00857C5F">
        <w:rPr>
          <w:b w:val="0"/>
          <w:i w:val="0"/>
          <w:color w:val="auto"/>
          <w:sz w:val="22"/>
        </w:rPr>
        <w:t>Сокращенное фирменное наименование:</w:t>
      </w:r>
      <w:r w:rsidRPr="00857C5F">
        <w:rPr>
          <w:bCs/>
          <w:iCs/>
          <w:color w:val="auto"/>
          <w:sz w:val="22"/>
        </w:rPr>
        <w:t xml:space="preserve"> </w:t>
      </w:r>
      <w:r w:rsidR="00934B38" w:rsidRPr="00857C5F">
        <w:rPr>
          <w:bCs/>
          <w:iCs/>
          <w:color w:val="auto"/>
          <w:sz w:val="22"/>
        </w:rPr>
        <w:t>ПАО "МТС-Банк"</w:t>
      </w:r>
    </w:p>
    <w:p w14:paraId="107C4037" w14:textId="77777777" w:rsidR="00DE1542" w:rsidRPr="00857C5F" w:rsidRDefault="00DE1542" w:rsidP="00DE1542">
      <w:pPr>
        <w:spacing w:after="0" w:line="240" w:lineRule="auto"/>
        <w:ind w:firstLine="567"/>
        <w:rPr>
          <w:b w:val="0"/>
          <w:i w:val="0"/>
          <w:color w:val="auto"/>
          <w:sz w:val="22"/>
        </w:rPr>
      </w:pPr>
      <w:r w:rsidRPr="00857C5F">
        <w:rPr>
          <w:b w:val="0"/>
          <w:i w:val="0"/>
          <w:color w:val="auto"/>
          <w:sz w:val="22"/>
        </w:rPr>
        <w:t xml:space="preserve">Место нахождения: </w:t>
      </w:r>
      <w:r w:rsidRPr="00857C5F">
        <w:rPr>
          <w:color w:val="auto"/>
          <w:sz w:val="22"/>
        </w:rPr>
        <w:t>Российская Федерация, город Москва</w:t>
      </w:r>
    </w:p>
    <w:p w14:paraId="4FC10F86" w14:textId="5AF57F6F" w:rsidR="00187782" w:rsidRPr="00857C5F" w:rsidRDefault="00187782" w:rsidP="00187782">
      <w:pPr>
        <w:spacing w:after="0" w:line="240" w:lineRule="auto"/>
        <w:ind w:firstLine="567"/>
        <w:rPr>
          <w:b w:val="0"/>
          <w:i w:val="0"/>
          <w:color w:val="auto"/>
          <w:sz w:val="22"/>
        </w:rPr>
      </w:pPr>
      <w:r w:rsidRPr="00857C5F">
        <w:rPr>
          <w:b w:val="0"/>
          <w:i w:val="0"/>
          <w:color w:val="auto"/>
          <w:sz w:val="22"/>
        </w:rPr>
        <w:t xml:space="preserve">Номер счета: </w:t>
      </w:r>
      <w:r w:rsidR="00857C5F" w:rsidRPr="00857C5F">
        <w:rPr>
          <w:bCs/>
          <w:iCs/>
          <w:color w:val="auto"/>
          <w:sz w:val="22"/>
        </w:rPr>
        <w:t>30101810600000000232</w:t>
      </w:r>
    </w:p>
    <w:p w14:paraId="3C7D7719" w14:textId="4344A0E2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934B38">
        <w:rPr>
          <w:b w:val="0"/>
          <w:i w:val="0"/>
          <w:sz w:val="22"/>
        </w:rPr>
        <w:t xml:space="preserve">КПП получателя средств, поступающих в оплату ценных бумаг: </w:t>
      </w:r>
      <w:r w:rsidR="00857C5F" w:rsidRPr="00857C5F">
        <w:rPr>
          <w:bCs/>
          <w:iCs/>
          <w:sz w:val="22"/>
        </w:rPr>
        <w:t>772501001</w:t>
      </w:r>
    </w:p>
    <w:p w14:paraId="344ED7BE" w14:textId="04D5623F" w:rsidR="00187782" w:rsidRPr="005E4853" w:rsidRDefault="00187782" w:rsidP="00187782">
      <w:pPr>
        <w:spacing w:after="0" w:line="240" w:lineRule="auto"/>
        <w:ind w:firstLine="567"/>
        <w:rPr>
          <w:bCs/>
          <w:iCs/>
          <w:sz w:val="22"/>
        </w:rPr>
      </w:pPr>
      <w:r w:rsidRPr="005E4853">
        <w:rPr>
          <w:b w:val="0"/>
          <w:i w:val="0"/>
          <w:sz w:val="22"/>
        </w:rPr>
        <w:t xml:space="preserve">ИНН получателя средств, поступающих в оплату ценных бумаг: </w:t>
      </w:r>
      <w:r w:rsidR="00857C5F" w:rsidRPr="005E4853">
        <w:rPr>
          <w:rStyle w:val="af"/>
          <w:b/>
          <w:sz w:val="22"/>
          <w:shd w:val="clear" w:color="auto" w:fill="FFFFFF"/>
        </w:rPr>
        <w:t>7702045051</w:t>
      </w:r>
    </w:p>
    <w:p w14:paraId="4FB76FCF" w14:textId="77777777" w:rsidR="00187782" w:rsidRPr="005E4853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4B494598" w14:textId="77777777" w:rsidR="00187782" w:rsidRPr="005E4853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E4853">
        <w:rPr>
          <w:b w:val="0"/>
          <w:i w:val="0"/>
          <w:sz w:val="22"/>
        </w:rPr>
        <w:t>Кредитная организация:</w:t>
      </w:r>
    </w:p>
    <w:p w14:paraId="54FFB98D" w14:textId="77777777" w:rsidR="00187782" w:rsidRPr="005E4853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E4853">
        <w:rPr>
          <w:b w:val="0"/>
          <w:i w:val="0"/>
          <w:sz w:val="22"/>
        </w:rPr>
        <w:t xml:space="preserve">Полное фирменное наименование на русском языке: </w:t>
      </w:r>
      <w:r w:rsidRPr="005E4853">
        <w:rPr>
          <w:sz w:val="22"/>
        </w:rPr>
        <w:t>Небанковская кредитная организация акционерное общество «Национальный расчетный депозитарий»</w:t>
      </w:r>
    </w:p>
    <w:p w14:paraId="717E2E30" w14:textId="77777777" w:rsidR="00187782" w:rsidRPr="005E4853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E4853">
        <w:rPr>
          <w:b w:val="0"/>
          <w:i w:val="0"/>
          <w:sz w:val="22"/>
        </w:rPr>
        <w:t xml:space="preserve">Сокращенное фирменное наименование на русском языке: </w:t>
      </w:r>
      <w:r w:rsidRPr="005E4853">
        <w:rPr>
          <w:sz w:val="22"/>
        </w:rPr>
        <w:t>НКО АО НРД</w:t>
      </w:r>
    </w:p>
    <w:p w14:paraId="10BECAB9" w14:textId="77777777" w:rsidR="00187782" w:rsidRPr="005E4853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E4853">
        <w:rPr>
          <w:b w:val="0"/>
          <w:i w:val="0"/>
          <w:sz w:val="22"/>
        </w:rPr>
        <w:t xml:space="preserve">Место нахождения: </w:t>
      </w:r>
      <w:r w:rsidRPr="005E4853">
        <w:rPr>
          <w:sz w:val="22"/>
        </w:rPr>
        <w:t>Российская Федерация, город Москва</w:t>
      </w:r>
    </w:p>
    <w:p w14:paraId="0273C240" w14:textId="77777777" w:rsidR="00187782" w:rsidRPr="005E4853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E4853">
        <w:rPr>
          <w:b w:val="0"/>
          <w:i w:val="0"/>
          <w:sz w:val="22"/>
        </w:rPr>
        <w:t xml:space="preserve">БИК: </w:t>
      </w:r>
      <w:r w:rsidRPr="005E4853">
        <w:rPr>
          <w:sz w:val="22"/>
        </w:rPr>
        <w:t>044525505</w:t>
      </w:r>
    </w:p>
    <w:p w14:paraId="2DEFB6B7" w14:textId="4E96991A" w:rsidR="00187782" w:rsidRPr="005E4853" w:rsidRDefault="00187782" w:rsidP="00187782">
      <w:pPr>
        <w:spacing w:after="0" w:line="240" w:lineRule="auto"/>
        <w:ind w:firstLine="567"/>
        <w:rPr>
          <w:sz w:val="22"/>
        </w:rPr>
      </w:pPr>
      <w:r w:rsidRPr="005E4853">
        <w:rPr>
          <w:b w:val="0"/>
          <w:i w:val="0"/>
          <w:sz w:val="22"/>
        </w:rPr>
        <w:t xml:space="preserve">КПП: </w:t>
      </w:r>
      <w:r w:rsidRPr="005E4853">
        <w:rPr>
          <w:sz w:val="22"/>
        </w:rPr>
        <w:t>770101001</w:t>
      </w:r>
    </w:p>
    <w:p w14:paraId="027C6765" w14:textId="72D92692" w:rsidR="000E68E5" w:rsidRPr="005E4853" w:rsidRDefault="000E68E5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E4853">
        <w:rPr>
          <w:b w:val="0"/>
          <w:i w:val="0"/>
          <w:sz w:val="22"/>
        </w:rPr>
        <w:t xml:space="preserve">ИНН: </w:t>
      </w:r>
      <w:r w:rsidRPr="005E4853">
        <w:rPr>
          <w:sz w:val="22"/>
        </w:rPr>
        <w:t>7702165310</w:t>
      </w:r>
    </w:p>
    <w:p w14:paraId="60415D6D" w14:textId="3645E197" w:rsidR="00187782" w:rsidRPr="00934B38" w:rsidRDefault="00187782" w:rsidP="00187782">
      <w:pPr>
        <w:spacing w:after="0" w:line="240" w:lineRule="auto"/>
        <w:ind w:firstLine="567"/>
        <w:rPr>
          <w:sz w:val="22"/>
        </w:rPr>
      </w:pPr>
      <w:r w:rsidRPr="005E4853">
        <w:rPr>
          <w:b w:val="0"/>
          <w:i w:val="0"/>
          <w:sz w:val="22"/>
        </w:rPr>
        <w:t xml:space="preserve">К/с: </w:t>
      </w:r>
      <w:r w:rsidRPr="005E4853">
        <w:rPr>
          <w:sz w:val="22"/>
        </w:rPr>
        <w:t>30105810345250000505</w:t>
      </w:r>
    </w:p>
    <w:p w14:paraId="646E6AFB" w14:textId="3ADCE1E8" w:rsidR="00187782" w:rsidRPr="00E507CD" w:rsidRDefault="00187782" w:rsidP="00187782">
      <w:pPr>
        <w:spacing w:after="0" w:line="240" w:lineRule="auto"/>
        <w:ind w:left="-15" w:firstLine="567"/>
        <w:rPr>
          <w:bCs/>
          <w:iCs/>
          <w:sz w:val="22"/>
        </w:rPr>
      </w:pPr>
    </w:p>
    <w:p w14:paraId="32B47489" w14:textId="77777777" w:rsidR="004414A1" w:rsidRPr="00E507CD" w:rsidRDefault="004414A1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7B0AFBF1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4.5.3. В случае оплаты ценных бумаг неденежными средствами указываются имущество, которым могут оплачиваться ценные бумаги выпуска, условия оплаты, включая документы, оформляемые при такой оплате (акты приема-передачи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для определения рыночной стоимости такого имущества: </w:t>
      </w:r>
      <w:r w:rsidRPr="00E507CD">
        <w:rPr>
          <w:sz w:val="22"/>
        </w:rPr>
        <w:t>Не применимо</w:t>
      </w:r>
      <w:r w:rsidRPr="00E507CD">
        <w:rPr>
          <w:b w:val="0"/>
          <w:i w:val="0"/>
          <w:sz w:val="22"/>
        </w:rPr>
        <w:t xml:space="preserve"> </w:t>
      </w:r>
    </w:p>
    <w:p w14:paraId="6F7047CE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417FA265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4.5.4. В случае оплаты дополнительных акций, размещаемых посредством закрытой подписки,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зачете. </w:t>
      </w:r>
      <w:r w:rsidRPr="00E507CD">
        <w:rPr>
          <w:sz w:val="22"/>
        </w:rPr>
        <w:t>Не применимо</w:t>
      </w:r>
      <w:r w:rsidRPr="00E507CD">
        <w:rPr>
          <w:b w:val="0"/>
          <w:i w:val="0"/>
          <w:sz w:val="22"/>
        </w:rPr>
        <w:t xml:space="preserve"> </w:t>
      </w:r>
    </w:p>
    <w:p w14:paraId="5885E092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23051FC0" w14:textId="59FE390C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4.5.5. </w:t>
      </w:r>
      <w:r w:rsidR="002A63E9">
        <w:rPr>
          <w:b w:val="0"/>
          <w:i w:val="0"/>
          <w:sz w:val="22"/>
        </w:rPr>
        <w:t>Указывается с</w:t>
      </w:r>
      <w:r w:rsidRPr="00E507CD">
        <w:rPr>
          <w:b w:val="0"/>
          <w:i w:val="0"/>
          <w:sz w:val="22"/>
        </w:rPr>
        <w:t xml:space="preserve">рок оплаты размещаемых ценных бумаг. </w:t>
      </w:r>
    </w:p>
    <w:p w14:paraId="6DF6B35D" w14:textId="77777777" w:rsidR="00934B38" w:rsidRPr="00934B38" w:rsidRDefault="00934B38" w:rsidP="00934B38">
      <w:pPr>
        <w:spacing w:after="0" w:line="240" w:lineRule="auto"/>
        <w:ind w:firstLine="567"/>
        <w:rPr>
          <w:sz w:val="22"/>
        </w:rPr>
      </w:pPr>
      <w:r w:rsidRPr="00934B38">
        <w:rPr>
          <w:sz w:val="22"/>
        </w:rPr>
        <w:t>Облигации размещаются при условии их полной оплаты.</w:t>
      </w:r>
    </w:p>
    <w:p w14:paraId="2C4BD5CC" w14:textId="77777777" w:rsidR="00934B38" w:rsidRPr="00934B38" w:rsidRDefault="00934B38" w:rsidP="00934B38">
      <w:pPr>
        <w:spacing w:after="0" w:line="240" w:lineRule="auto"/>
        <w:ind w:firstLine="567"/>
        <w:rPr>
          <w:sz w:val="22"/>
        </w:rPr>
      </w:pPr>
      <w:r w:rsidRPr="00934B38">
        <w:rPr>
          <w:sz w:val="22"/>
        </w:rPr>
        <w:t>Возможность рассрочки при оплате Облигаций не предусмотрена.</w:t>
      </w:r>
    </w:p>
    <w:p w14:paraId="0C19E72E" w14:textId="4D4FB002" w:rsidR="00187782" w:rsidRPr="00E507CD" w:rsidRDefault="00934B38" w:rsidP="00934B38">
      <w:pPr>
        <w:spacing w:after="0" w:line="240" w:lineRule="auto"/>
        <w:ind w:firstLine="567"/>
        <w:rPr>
          <w:sz w:val="22"/>
        </w:rPr>
      </w:pPr>
      <w:r w:rsidRPr="00934B38">
        <w:rPr>
          <w:sz w:val="22"/>
        </w:rPr>
        <w:t>Приобретаемые Облигации должны быть полностью оплачены не позднее Даты окончания размещения Облигаций с учётом времени, необходимого Эмитенту для перевода Облигаций на счёт депо приобретателя Облигаций. В случае если в указанный срок обязательство по оплате приобретаемых Облигаций не будет исполнено, Эмитент имеет право отказаться от исполнения встречного обязательства по передаче Облигаций приобретателям.</w:t>
      </w:r>
    </w:p>
    <w:p w14:paraId="58C6765F" w14:textId="77777777" w:rsidR="00187782" w:rsidRPr="00E507CD" w:rsidRDefault="00187782" w:rsidP="00187782">
      <w:pPr>
        <w:spacing w:after="0" w:line="240" w:lineRule="auto"/>
        <w:ind w:firstLine="0"/>
        <w:rPr>
          <w:b w:val="0"/>
          <w:i w:val="0"/>
          <w:sz w:val="22"/>
        </w:rPr>
      </w:pPr>
    </w:p>
    <w:p w14:paraId="50B81039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5. Порядок раскрытия эмитентом информации о выпуске (дополнительном выпуске) ценных бумаг.</w:t>
      </w:r>
    </w:p>
    <w:p w14:paraId="40534242" w14:textId="701AC6FB" w:rsidR="00187782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бумаг": </w:t>
      </w:r>
      <w:r w:rsidRPr="00E507CD">
        <w:rPr>
          <w:sz w:val="22"/>
        </w:rPr>
        <w:t xml:space="preserve">Эмитент раскрывает информацию о Выпуске в порядке, предусмотренном Федеральным законом от 22.04.1996 № 39-ФЗ «О рынке ценных бумаг» и </w:t>
      </w:r>
      <w:r w:rsidR="002A63E9">
        <w:rPr>
          <w:sz w:val="22"/>
        </w:rPr>
        <w:t>Решением о выпуске</w:t>
      </w:r>
      <w:r w:rsidRPr="00E507CD">
        <w:rPr>
          <w:sz w:val="22"/>
        </w:rPr>
        <w:t>.</w:t>
      </w:r>
    </w:p>
    <w:p w14:paraId="4E506F10" w14:textId="77777777" w:rsidR="002A63E9" w:rsidRPr="00E507CD" w:rsidRDefault="002A63E9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7325EE3B" w14:textId="6B30B0CE" w:rsidR="00384E14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</w:t>
      </w:r>
      <w:proofErr w:type="gramStart"/>
      <w:r w:rsidRPr="00E507CD">
        <w:rPr>
          <w:b w:val="0"/>
          <w:i w:val="0"/>
          <w:sz w:val="22"/>
        </w:rPr>
        <w:t xml:space="preserve">: </w:t>
      </w:r>
      <w:r w:rsidR="00384E14" w:rsidRPr="00384E14">
        <w:rPr>
          <w:sz w:val="22"/>
        </w:rPr>
        <w:t>Не</w:t>
      </w:r>
      <w:proofErr w:type="gramEnd"/>
      <w:r w:rsidR="00384E14" w:rsidRPr="00384E14">
        <w:rPr>
          <w:sz w:val="22"/>
        </w:rPr>
        <w:t xml:space="preserve"> применимо.</w:t>
      </w:r>
    </w:p>
    <w:p w14:paraId="45FBCEAA" w14:textId="77777777" w:rsidR="00384E14" w:rsidRDefault="00384E14" w:rsidP="00187782">
      <w:pPr>
        <w:spacing w:after="0" w:line="240" w:lineRule="auto"/>
        <w:ind w:left="-15" w:firstLine="567"/>
        <w:rPr>
          <w:sz w:val="22"/>
        </w:rPr>
      </w:pPr>
    </w:p>
    <w:p w14:paraId="09BDDCCA" w14:textId="434E4A8E" w:rsidR="00187782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В случае если информация о выпуске (дополнительном выпуске) раскрывается путем опубликования в периодическом печатном издании (изданиях), указывается наименование такого издания (изданий)</w:t>
      </w:r>
      <w:proofErr w:type="gramStart"/>
      <w:r w:rsidRPr="00E507CD">
        <w:rPr>
          <w:b w:val="0"/>
          <w:i w:val="0"/>
          <w:sz w:val="22"/>
        </w:rPr>
        <w:t>:</w:t>
      </w:r>
      <w:r w:rsidR="002A63E9">
        <w:rPr>
          <w:b w:val="0"/>
          <w:i w:val="0"/>
          <w:sz w:val="22"/>
        </w:rPr>
        <w:t xml:space="preserve"> </w:t>
      </w:r>
      <w:r w:rsidRPr="00E507CD">
        <w:rPr>
          <w:sz w:val="22"/>
        </w:rPr>
        <w:t>Не</w:t>
      </w:r>
      <w:proofErr w:type="gramEnd"/>
      <w:r w:rsidRPr="00E507CD">
        <w:rPr>
          <w:sz w:val="22"/>
        </w:rPr>
        <w:t xml:space="preserve"> применимо</w:t>
      </w:r>
      <w:r w:rsidR="002A63E9">
        <w:rPr>
          <w:sz w:val="22"/>
        </w:rPr>
        <w:t>.</w:t>
      </w:r>
    </w:p>
    <w:p w14:paraId="2D8F1077" w14:textId="77777777" w:rsidR="002A63E9" w:rsidRPr="00E507CD" w:rsidRDefault="002A63E9" w:rsidP="00187782">
      <w:pPr>
        <w:spacing w:after="0" w:line="240" w:lineRule="auto"/>
        <w:ind w:left="-15" w:firstLine="567"/>
        <w:rPr>
          <w:sz w:val="22"/>
        </w:rPr>
      </w:pPr>
    </w:p>
    <w:p w14:paraId="53CBF771" w14:textId="4A233252" w:rsidR="00187782" w:rsidRDefault="00187782" w:rsidP="00187782">
      <w:pPr>
        <w:spacing w:after="0" w:line="240" w:lineRule="auto"/>
        <w:ind w:right="15" w:firstLine="567"/>
        <w:rPr>
          <w:sz w:val="22"/>
        </w:rPr>
      </w:pPr>
      <w:r w:rsidRPr="00E507CD">
        <w:rPr>
          <w:b w:val="0"/>
          <w:i w:val="0"/>
          <w:sz w:val="22"/>
        </w:rPr>
        <w:t>В случае если информация раскрывается путем опубликования на странице в сети "Интернет", указывается адрес этой страницы в сети "Интернет":</w:t>
      </w:r>
      <w:r w:rsidRPr="00E507CD">
        <w:rPr>
          <w:sz w:val="22"/>
        </w:rPr>
        <w:t xml:space="preserve"> </w:t>
      </w:r>
      <w:hyperlink r:id="rId12" w:history="1">
        <w:r w:rsidR="002A63E9" w:rsidRPr="000777CA">
          <w:rPr>
            <w:rStyle w:val="af0"/>
            <w:sz w:val="22"/>
          </w:rPr>
          <w:t>https://e-disclosure.ru/portal/company.aspx?id=1285</w:t>
        </w:r>
      </w:hyperlink>
    </w:p>
    <w:p w14:paraId="14A58FDC" w14:textId="77777777" w:rsidR="002A63E9" w:rsidRPr="00E507CD" w:rsidRDefault="002A63E9" w:rsidP="00187782">
      <w:pPr>
        <w:spacing w:after="0" w:line="240" w:lineRule="auto"/>
        <w:ind w:right="15" w:firstLine="567"/>
        <w:rPr>
          <w:sz w:val="22"/>
        </w:rPr>
      </w:pPr>
    </w:p>
    <w:p w14:paraId="52E07D85" w14:textId="68342519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sz w:val="22"/>
        </w:rPr>
      </w:pPr>
      <w:r w:rsidRPr="00E507CD">
        <w:rPr>
          <w:rFonts w:eastAsia="Calibri"/>
          <w:b w:val="0"/>
          <w:i w:val="0"/>
          <w:sz w:val="22"/>
        </w:rPr>
        <w:t>В случае если эмитент обязан раскрывать информацию в форме отчета эмитента и сообщений о существенных фактах, указывается данное обстоятельство</w:t>
      </w:r>
      <w:proofErr w:type="gramStart"/>
      <w:r w:rsidRPr="00E507CD">
        <w:rPr>
          <w:rFonts w:eastAsia="Calibri"/>
          <w:b w:val="0"/>
          <w:i w:val="0"/>
          <w:sz w:val="22"/>
        </w:rPr>
        <w:t>:</w:t>
      </w:r>
      <w:r w:rsidRPr="00E507CD">
        <w:t xml:space="preserve"> </w:t>
      </w:r>
      <w:r w:rsidRPr="00E507CD">
        <w:rPr>
          <w:sz w:val="22"/>
        </w:rPr>
        <w:t>На</w:t>
      </w:r>
      <w:proofErr w:type="gramEnd"/>
      <w:r w:rsidRPr="00E507CD">
        <w:rPr>
          <w:sz w:val="22"/>
        </w:rPr>
        <w:t xml:space="preserve"> дату подписания настоящего документа, Эмитент</w:t>
      </w:r>
      <w:r w:rsidR="007A19A9" w:rsidRPr="00E507CD">
        <w:rPr>
          <w:sz w:val="22"/>
        </w:rPr>
        <w:t xml:space="preserve"> </w:t>
      </w:r>
      <w:r w:rsidRPr="00E507CD">
        <w:rPr>
          <w:sz w:val="22"/>
        </w:rPr>
        <w:t>обязан раскрывать информацию в форме отчета эмитента и сообщений о существенных фактах.</w:t>
      </w:r>
    </w:p>
    <w:p w14:paraId="093C3E7F" w14:textId="77777777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sz w:val="22"/>
        </w:rPr>
      </w:pPr>
    </w:p>
    <w:p w14:paraId="6736462E" w14:textId="77777777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6. Сведения о документе, содержащем фактические итоги размещения ценных бумаг, который представляется после завершения размещения ценных бумаг.</w:t>
      </w:r>
    </w:p>
    <w:p w14:paraId="282F4DD2" w14:textId="50976620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sz w:val="22"/>
        </w:rPr>
      </w:pPr>
      <w:r w:rsidRPr="00E507CD">
        <w:rPr>
          <w:sz w:val="22"/>
        </w:rPr>
        <w:t xml:space="preserve">В соответствии с Федеральным законом от 22.04.1996 № 39-ФЗ «О рынке ценных бумаг», депозитарием, осуществляющим централизованный учет прав на </w:t>
      </w:r>
      <w:r w:rsidR="001B7793" w:rsidRPr="00E507CD">
        <w:rPr>
          <w:sz w:val="22"/>
        </w:rPr>
        <w:t>О</w:t>
      </w:r>
      <w:r w:rsidRPr="00E507CD">
        <w:rPr>
          <w:sz w:val="22"/>
        </w:rPr>
        <w:t>блигации, представляется уведомление об итогах выпуска эмиссионных ценных бумаг в Банк России.</w:t>
      </w:r>
    </w:p>
    <w:p w14:paraId="39C93579" w14:textId="77777777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sz w:val="22"/>
        </w:rPr>
      </w:pPr>
    </w:p>
    <w:p w14:paraId="77154808" w14:textId="77777777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 xml:space="preserve">7. Иные сведения:  </w:t>
      </w:r>
    </w:p>
    <w:p w14:paraId="06795C63" w14:textId="77777777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 xml:space="preserve">Иные сведения отсутствуют. </w:t>
      </w:r>
    </w:p>
    <w:p w14:paraId="5BF1CA00" w14:textId="77777777" w:rsidR="00B519CB" w:rsidRPr="00E507CD" w:rsidRDefault="00B519CB" w:rsidP="00E51A24"/>
    <w:sectPr w:rsidR="00B519CB" w:rsidRPr="00E507CD" w:rsidSect="00EC72A3">
      <w:footerReference w:type="even" r:id="rId13"/>
      <w:footerReference w:type="default" r:id="rId14"/>
      <w:footerReference w:type="first" r:id="rId15"/>
      <w:pgSz w:w="11906" w:h="16838"/>
      <w:pgMar w:top="861" w:right="566" w:bottom="709" w:left="1133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F4C5" w14:textId="77777777" w:rsidR="003E37ED" w:rsidRDefault="003E37ED">
      <w:pPr>
        <w:spacing w:after="0" w:line="240" w:lineRule="auto"/>
      </w:pPr>
      <w:r>
        <w:separator/>
      </w:r>
    </w:p>
  </w:endnote>
  <w:endnote w:type="continuationSeparator" w:id="0">
    <w:p w14:paraId="2FD9487C" w14:textId="77777777" w:rsidR="003E37ED" w:rsidRDefault="003E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3998" w14:textId="77777777" w:rsidR="003E37ED" w:rsidRDefault="003E37ED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9157" w14:textId="77777777" w:rsidR="003E37ED" w:rsidRDefault="003E37ED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B260" w14:textId="77777777" w:rsidR="003E37ED" w:rsidRDefault="003E37ED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030C" w14:textId="77777777" w:rsidR="003E37ED" w:rsidRDefault="003E37ED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20"/>
      </w:rPr>
      <w:t>3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724A96E8" w14:textId="77777777" w:rsidR="003E37ED" w:rsidRDefault="003E37ED">
    <w:pPr>
      <w:spacing w:after="0" w:line="259" w:lineRule="auto"/>
      <w:ind w:firstLine="0"/>
      <w:jc w:val="left"/>
    </w:pPr>
    <w:r>
      <w:rPr>
        <w:b w:val="0"/>
        <w:i w:val="0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62DD" w14:textId="563630FA" w:rsidR="003E37ED" w:rsidRDefault="003E37ED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46C0" w:rsidRPr="002E46C0">
      <w:rPr>
        <w:b w:val="0"/>
        <w:i w:val="0"/>
        <w:noProof/>
        <w:sz w:val="20"/>
      </w:rPr>
      <w:t>8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352A8DDB" w14:textId="77777777" w:rsidR="003E37ED" w:rsidRDefault="003E37ED">
    <w:pPr>
      <w:spacing w:after="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543C" w14:textId="77777777" w:rsidR="003E37ED" w:rsidRDefault="003E37ED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20"/>
      </w:rPr>
      <w:t>3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568D3AAB" w14:textId="77777777" w:rsidR="003E37ED" w:rsidRDefault="003E37ED">
    <w:pPr>
      <w:spacing w:after="0" w:line="259" w:lineRule="auto"/>
      <w:ind w:firstLine="0"/>
      <w:jc w:val="left"/>
    </w:pPr>
    <w:r>
      <w:rPr>
        <w:b w:val="0"/>
        <w:i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E002" w14:textId="77777777" w:rsidR="003E37ED" w:rsidRDefault="003E37ED">
      <w:pPr>
        <w:spacing w:after="0" w:line="240" w:lineRule="auto"/>
      </w:pPr>
      <w:r>
        <w:separator/>
      </w:r>
    </w:p>
  </w:footnote>
  <w:footnote w:type="continuationSeparator" w:id="0">
    <w:p w14:paraId="0D1B46B9" w14:textId="77777777" w:rsidR="003E37ED" w:rsidRDefault="003E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FD15" w14:textId="77777777" w:rsidR="003E37ED" w:rsidRPr="001E49C2" w:rsidRDefault="003E37ED" w:rsidP="00EC72A3">
    <w:pPr>
      <w:pStyle w:val="a3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24A3300"/>
    <w:multiLevelType w:val="hybridMultilevel"/>
    <w:tmpl w:val="98E869EE"/>
    <w:lvl w:ilvl="0" w:tplc="451CD7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0F"/>
    <w:rsid w:val="00000A6A"/>
    <w:rsid w:val="000232A6"/>
    <w:rsid w:val="00023C6B"/>
    <w:rsid w:val="00045614"/>
    <w:rsid w:val="000518BF"/>
    <w:rsid w:val="000B3770"/>
    <w:rsid w:val="000C2A89"/>
    <w:rsid w:val="000D459C"/>
    <w:rsid w:val="000E2209"/>
    <w:rsid w:val="000E68E5"/>
    <w:rsid w:val="00124B04"/>
    <w:rsid w:val="00132047"/>
    <w:rsid w:val="001820B0"/>
    <w:rsid w:val="00187782"/>
    <w:rsid w:val="001B0E68"/>
    <w:rsid w:val="001B7793"/>
    <w:rsid w:val="001C1DD2"/>
    <w:rsid w:val="001D1C16"/>
    <w:rsid w:val="001D4C03"/>
    <w:rsid w:val="001D5499"/>
    <w:rsid w:val="002526E5"/>
    <w:rsid w:val="002715D3"/>
    <w:rsid w:val="00285378"/>
    <w:rsid w:val="002A400F"/>
    <w:rsid w:val="002A63E9"/>
    <w:rsid w:val="002B06A4"/>
    <w:rsid w:val="002C60BA"/>
    <w:rsid w:val="002E46C0"/>
    <w:rsid w:val="002F05C4"/>
    <w:rsid w:val="00307995"/>
    <w:rsid w:val="00325CCF"/>
    <w:rsid w:val="00333733"/>
    <w:rsid w:val="00351F0A"/>
    <w:rsid w:val="00355332"/>
    <w:rsid w:val="00384E14"/>
    <w:rsid w:val="00387EED"/>
    <w:rsid w:val="003C269E"/>
    <w:rsid w:val="003C6A7C"/>
    <w:rsid w:val="003E37ED"/>
    <w:rsid w:val="004120B1"/>
    <w:rsid w:val="00415515"/>
    <w:rsid w:val="00416B85"/>
    <w:rsid w:val="004335A3"/>
    <w:rsid w:val="00434F71"/>
    <w:rsid w:val="004414A1"/>
    <w:rsid w:val="00450806"/>
    <w:rsid w:val="00456E5D"/>
    <w:rsid w:val="00463921"/>
    <w:rsid w:val="00466E4D"/>
    <w:rsid w:val="00467150"/>
    <w:rsid w:val="00477F66"/>
    <w:rsid w:val="00481A1C"/>
    <w:rsid w:val="00485454"/>
    <w:rsid w:val="004A0233"/>
    <w:rsid w:val="004A0C84"/>
    <w:rsid w:val="004A6123"/>
    <w:rsid w:val="004B31E8"/>
    <w:rsid w:val="004C3B31"/>
    <w:rsid w:val="004D0ADE"/>
    <w:rsid w:val="004F6AAC"/>
    <w:rsid w:val="00511900"/>
    <w:rsid w:val="005126ED"/>
    <w:rsid w:val="00523E46"/>
    <w:rsid w:val="00547301"/>
    <w:rsid w:val="00561CC6"/>
    <w:rsid w:val="0056586E"/>
    <w:rsid w:val="00566C82"/>
    <w:rsid w:val="00575E4B"/>
    <w:rsid w:val="0058268C"/>
    <w:rsid w:val="005863E7"/>
    <w:rsid w:val="0059199D"/>
    <w:rsid w:val="005B1C8F"/>
    <w:rsid w:val="005E4853"/>
    <w:rsid w:val="005F03B5"/>
    <w:rsid w:val="00620A09"/>
    <w:rsid w:val="00620F70"/>
    <w:rsid w:val="006358A4"/>
    <w:rsid w:val="0067044E"/>
    <w:rsid w:val="00685944"/>
    <w:rsid w:val="006A539B"/>
    <w:rsid w:val="006C57BC"/>
    <w:rsid w:val="006C6194"/>
    <w:rsid w:val="006E53CC"/>
    <w:rsid w:val="00701730"/>
    <w:rsid w:val="00747642"/>
    <w:rsid w:val="0075088F"/>
    <w:rsid w:val="0076502A"/>
    <w:rsid w:val="0078610C"/>
    <w:rsid w:val="007A19A9"/>
    <w:rsid w:val="007F604B"/>
    <w:rsid w:val="00801FB3"/>
    <w:rsid w:val="0081013E"/>
    <w:rsid w:val="00833B0A"/>
    <w:rsid w:val="00843DF8"/>
    <w:rsid w:val="00857C5F"/>
    <w:rsid w:val="00870694"/>
    <w:rsid w:val="00870B2B"/>
    <w:rsid w:val="00873B7B"/>
    <w:rsid w:val="0088388C"/>
    <w:rsid w:val="008B79E5"/>
    <w:rsid w:val="008C0085"/>
    <w:rsid w:val="008E2E93"/>
    <w:rsid w:val="00906E46"/>
    <w:rsid w:val="009126FC"/>
    <w:rsid w:val="00934B38"/>
    <w:rsid w:val="0094540C"/>
    <w:rsid w:val="00947A93"/>
    <w:rsid w:val="009577D1"/>
    <w:rsid w:val="009824F2"/>
    <w:rsid w:val="00985E2D"/>
    <w:rsid w:val="00987FAC"/>
    <w:rsid w:val="009906AD"/>
    <w:rsid w:val="00993B02"/>
    <w:rsid w:val="009A461F"/>
    <w:rsid w:val="009B5A3B"/>
    <w:rsid w:val="009C78D5"/>
    <w:rsid w:val="009D2C21"/>
    <w:rsid w:val="009D5416"/>
    <w:rsid w:val="009E54C1"/>
    <w:rsid w:val="009E6C03"/>
    <w:rsid w:val="009E79FE"/>
    <w:rsid w:val="009F38E5"/>
    <w:rsid w:val="009F6351"/>
    <w:rsid w:val="00A05ED0"/>
    <w:rsid w:val="00A14D81"/>
    <w:rsid w:val="00A15120"/>
    <w:rsid w:val="00A257AD"/>
    <w:rsid w:val="00A46958"/>
    <w:rsid w:val="00A544EB"/>
    <w:rsid w:val="00A62E0B"/>
    <w:rsid w:val="00A71B80"/>
    <w:rsid w:val="00AB4A86"/>
    <w:rsid w:val="00B02F01"/>
    <w:rsid w:val="00B5001C"/>
    <w:rsid w:val="00B519CB"/>
    <w:rsid w:val="00B52F9E"/>
    <w:rsid w:val="00B629F0"/>
    <w:rsid w:val="00B7745F"/>
    <w:rsid w:val="00B84FA6"/>
    <w:rsid w:val="00B853C4"/>
    <w:rsid w:val="00BA1758"/>
    <w:rsid w:val="00BE14CD"/>
    <w:rsid w:val="00BE14DA"/>
    <w:rsid w:val="00BE72C3"/>
    <w:rsid w:val="00BF28C0"/>
    <w:rsid w:val="00BF5FB2"/>
    <w:rsid w:val="00C56E3F"/>
    <w:rsid w:val="00C75C7B"/>
    <w:rsid w:val="00CA598B"/>
    <w:rsid w:val="00CB32F4"/>
    <w:rsid w:val="00CC781F"/>
    <w:rsid w:val="00CE0B80"/>
    <w:rsid w:val="00CF3D03"/>
    <w:rsid w:val="00D152A5"/>
    <w:rsid w:val="00D1795D"/>
    <w:rsid w:val="00D33652"/>
    <w:rsid w:val="00D524CB"/>
    <w:rsid w:val="00D6026F"/>
    <w:rsid w:val="00D808AF"/>
    <w:rsid w:val="00D80DDB"/>
    <w:rsid w:val="00D86710"/>
    <w:rsid w:val="00D878B9"/>
    <w:rsid w:val="00D94046"/>
    <w:rsid w:val="00D9565B"/>
    <w:rsid w:val="00D97BD2"/>
    <w:rsid w:val="00DD6AA4"/>
    <w:rsid w:val="00DE1542"/>
    <w:rsid w:val="00E1135E"/>
    <w:rsid w:val="00E11733"/>
    <w:rsid w:val="00E229A4"/>
    <w:rsid w:val="00E24E8D"/>
    <w:rsid w:val="00E507CD"/>
    <w:rsid w:val="00E51A24"/>
    <w:rsid w:val="00E5400E"/>
    <w:rsid w:val="00E67FED"/>
    <w:rsid w:val="00E75466"/>
    <w:rsid w:val="00EB73A2"/>
    <w:rsid w:val="00EC139D"/>
    <w:rsid w:val="00EC72A3"/>
    <w:rsid w:val="00EE1974"/>
    <w:rsid w:val="00EE5476"/>
    <w:rsid w:val="00EF28F4"/>
    <w:rsid w:val="00EF55F5"/>
    <w:rsid w:val="00F04D52"/>
    <w:rsid w:val="00F078BC"/>
    <w:rsid w:val="00F13596"/>
    <w:rsid w:val="00F3672A"/>
    <w:rsid w:val="00F46D40"/>
    <w:rsid w:val="00F723CF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06B"/>
  <w15:chartTrackingRefBased/>
  <w15:docId w15:val="{9B7AF107-6658-4D5C-B17F-1884D4E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782"/>
    <w:pPr>
      <w:spacing w:after="12" w:line="270" w:lineRule="auto"/>
      <w:ind w:firstLine="418"/>
      <w:jc w:val="both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87782"/>
    <w:pPr>
      <w:keepNext/>
      <w:keepLines/>
      <w:spacing w:after="0"/>
      <w:ind w:left="17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8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customStyle="1" w:styleId="Default">
    <w:name w:val="Default"/>
    <w:rsid w:val="0018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8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MS Mincho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18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78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styleId="a5">
    <w:name w:val="Table Grid"/>
    <w:basedOn w:val="a1"/>
    <w:uiPriority w:val="99"/>
    <w:rsid w:val="001877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61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61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610C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610C"/>
    <w:rPr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610C"/>
    <w:rPr>
      <w:rFonts w:ascii="Times New Roman" w:eastAsia="Times New Roman" w:hAnsi="Times New Roman" w:cs="Times New Roman"/>
      <w:b/>
      <w:bCs/>
      <w:i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10C"/>
    <w:rPr>
      <w:rFonts w:ascii="Segoe UI" w:eastAsia="Times New Roman" w:hAnsi="Segoe UI" w:cs="Segoe UI"/>
      <w:b/>
      <w:i/>
      <w:color w:val="000000"/>
      <w:sz w:val="18"/>
      <w:szCs w:val="18"/>
      <w:lang w:eastAsia="ru-RU"/>
    </w:rPr>
  </w:style>
  <w:style w:type="character" w:customStyle="1" w:styleId="fontstyle01">
    <w:name w:val="fontstyle01"/>
    <w:basedOn w:val="a0"/>
    <w:rsid w:val="009B5A3B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styleId="ad">
    <w:name w:val="Revision"/>
    <w:hidden/>
    <w:uiPriority w:val="99"/>
    <w:semiHidden/>
    <w:rsid w:val="00D33652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customStyle="1" w:styleId="ConsPlusNonformat">
    <w:name w:val="ConsPlusNonformat"/>
    <w:rsid w:val="000B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415515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Bodytext5">
    <w:name w:val="Body text (5)_"/>
    <w:basedOn w:val="a0"/>
    <w:link w:val="Bodytext51"/>
    <w:rsid w:val="0041551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1">
    <w:name w:val="Body text (5)1"/>
    <w:basedOn w:val="a"/>
    <w:link w:val="Bodytext5"/>
    <w:rsid w:val="00415515"/>
    <w:pPr>
      <w:widowControl w:val="0"/>
      <w:shd w:val="clear" w:color="auto" w:fill="FFFFFF"/>
      <w:spacing w:before="260" w:after="0" w:line="274" w:lineRule="exact"/>
      <w:ind w:firstLine="0"/>
      <w:jc w:val="center"/>
    </w:pPr>
    <w:rPr>
      <w:b w:val="0"/>
      <w:iCs/>
      <w:color w:val="auto"/>
      <w:sz w:val="22"/>
      <w:lang w:eastAsia="en-US"/>
    </w:rPr>
  </w:style>
  <w:style w:type="paragraph" w:styleId="ae">
    <w:name w:val="List Paragraph"/>
    <w:basedOn w:val="a"/>
    <w:uiPriority w:val="34"/>
    <w:qFormat/>
    <w:rsid w:val="00415515"/>
    <w:pPr>
      <w:widowControl w:val="0"/>
      <w:spacing w:after="0" w:line="240" w:lineRule="auto"/>
      <w:ind w:left="720" w:firstLine="0"/>
      <w:contextualSpacing/>
      <w:jc w:val="left"/>
    </w:pPr>
    <w:rPr>
      <w:rFonts w:ascii="Courier New" w:eastAsia="Courier New" w:hAnsi="Courier New" w:cs="Courier New"/>
      <w:b w:val="0"/>
      <w:i w:val="0"/>
      <w:szCs w:val="24"/>
      <w:lang w:bidi="ru-RU"/>
    </w:rPr>
  </w:style>
  <w:style w:type="character" w:styleId="af">
    <w:name w:val="Strong"/>
    <w:basedOn w:val="a0"/>
    <w:uiPriority w:val="22"/>
    <w:qFormat/>
    <w:rsid w:val="00BE72C3"/>
    <w:rPr>
      <w:b/>
      <w:bCs/>
    </w:rPr>
  </w:style>
  <w:style w:type="character" w:styleId="af0">
    <w:name w:val="Hyperlink"/>
    <w:basedOn w:val="a0"/>
    <w:uiPriority w:val="99"/>
    <w:unhideWhenUsed/>
    <w:rsid w:val="00985E2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A63E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A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disclosure.ru/portal/company.aspx?id=12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1AD0-B6A9-44C9-851E-D6DBF984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7</Pages>
  <Words>3490</Words>
  <Characters>19896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MTS BANK</Company>
  <LinksUpToDate>false</LinksUpToDate>
  <CharactersWithSpaces>23340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Елена Васильевна</dc:creator>
  <cp:keywords/>
  <dc:description/>
  <cp:lastModifiedBy>Жигалин Александр Дмитриевич</cp:lastModifiedBy>
  <cp:revision>43</cp:revision>
  <dcterms:created xsi:type="dcterms:W3CDTF">2021-05-19T20:21:00Z</dcterms:created>
  <dcterms:modified xsi:type="dcterms:W3CDTF">2024-04-25T09:47:00Z</dcterms:modified>
</cp:coreProperties>
</file>