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90AD" w14:textId="77777777" w:rsidR="00C030E5" w:rsidRPr="00D43E5E" w:rsidRDefault="00C030E5" w:rsidP="0066443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ДОКУМЕНТ,</w:t>
      </w:r>
    </w:p>
    <w:p w14:paraId="602FF3AD" w14:textId="5B1C32E3" w:rsidR="00C030E5" w:rsidRPr="00D43E5E" w:rsidRDefault="00C030E5" w:rsidP="00664430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содержащий измененную (скорректированную) информацию</w:t>
      </w:r>
      <w:r w:rsidR="007D42F9" w:rsidRPr="00D43E5E">
        <w:rPr>
          <w:rFonts w:ascii="Times New Roman" w:hAnsi="Times New Roman" w:cs="Times New Roman"/>
          <w:b/>
          <w:sz w:val="24"/>
          <w:szCs w:val="24"/>
        </w:rPr>
        <w:t>,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раскрытую в отчете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12 месяцев 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>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>.</w:t>
      </w:r>
    </w:p>
    <w:p w14:paraId="2AA41A47" w14:textId="77777777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Сведения о том, что сообщение или документ публикуется в порядке изменения (корректировки) информации, содержащейся в ранее опубликованном сообщении или документе (отчете эмитента, годовом отчете акционерного общества, списке аффилированных лиц акционерного общества):</w:t>
      </w:r>
    </w:p>
    <w:p w14:paraId="7490D4E1" w14:textId="1776D1A4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документ публикуется в порядке изменения (корректировки) информации, содержащейся в ранее опубликованном отчете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>» за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 12 месяцев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>.</w:t>
      </w:r>
    </w:p>
    <w:p w14:paraId="7343B9B1" w14:textId="77777777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Ссылка на ранее опубликованное сообщение или ранее опубликованный текст документа (отчета эмитента, годового отчета акционерного общества, списка аффилированных лиц акционерного общества), информация в котором изменяется (корректируется):</w:t>
      </w:r>
    </w:p>
    <w:p w14:paraId="0837A22E" w14:textId="159AD92A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ссылка на ранее опубликованный текст отчета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>» за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 12 месяцев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201278" w14:textId="73FDD804" w:rsidR="00EC70F1" w:rsidRPr="00D43E5E" w:rsidRDefault="00664430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C70F1" w:rsidRPr="00D43E5E">
          <w:rPr>
            <w:rStyle w:val="a3"/>
            <w:rFonts w:ascii="Times New Roman" w:hAnsi="Times New Roman" w:cs="Times New Roman"/>
            <w:sz w:val="24"/>
            <w:szCs w:val="24"/>
          </w:rPr>
          <w:t>https://www.e-discl</w:t>
        </w:r>
        <w:r w:rsidR="00EC70F1" w:rsidRPr="00D43E5E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="00EC70F1" w:rsidRPr="00D43E5E">
          <w:rPr>
            <w:rStyle w:val="a3"/>
            <w:rFonts w:ascii="Times New Roman" w:hAnsi="Times New Roman" w:cs="Times New Roman"/>
            <w:sz w:val="24"/>
            <w:szCs w:val="24"/>
          </w:rPr>
          <w:t>sure.ru/portal/files.aspx?id=1285&amp;type=5</w:t>
        </w:r>
      </w:hyperlink>
    </w:p>
    <w:p w14:paraId="3498327A" w14:textId="68E3B83E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Краткое описание внесенных изменений и причин (обстоятельств), послуживших основанием их внесения:</w:t>
      </w:r>
    </w:p>
    <w:p w14:paraId="5D412041" w14:textId="31FCAB47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E537C2" w:rsidRPr="00D43E5E">
        <w:rPr>
          <w:rFonts w:ascii="Times New Roman" w:hAnsi="Times New Roman" w:cs="Times New Roman"/>
          <w:b/>
          <w:sz w:val="24"/>
          <w:szCs w:val="24"/>
        </w:rPr>
        <w:t xml:space="preserve">приведением в соответствие с нормами Положения Банка России от 27.03.2020 № 714-П «О раскрытии информации эмитентами эмиссионных ценных бумаг» </w:t>
      </w:r>
      <w:r w:rsidRPr="00D43E5E">
        <w:rPr>
          <w:rFonts w:ascii="Times New Roman" w:hAnsi="Times New Roman" w:cs="Times New Roman"/>
          <w:b/>
          <w:sz w:val="24"/>
          <w:szCs w:val="24"/>
        </w:rPr>
        <w:t>внесены изменения (скорректированы и дополнены) в следующие пункты отчета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МТС-Банк»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12 месяцев </w:t>
      </w:r>
      <w:r w:rsidRPr="00D43E5E">
        <w:rPr>
          <w:rFonts w:ascii="Times New Roman" w:hAnsi="Times New Roman" w:cs="Times New Roman"/>
          <w:b/>
          <w:sz w:val="24"/>
          <w:szCs w:val="24"/>
        </w:rPr>
        <w:t>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>: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 xml:space="preserve"> п.1.</w:t>
      </w:r>
      <w:r w:rsidR="00A67CF0">
        <w:rPr>
          <w:rFonts w:ascii="Times New Roman" w:hAnsi="Times New Roman" w:cs="Times New Roman"/>
          <w:b/>
          <w:sz w:val="24"/>
          <w:szCs w:val="24"/>
        </w:rPr>
        <w:t>2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>, п.</w:t>
      </w:r>
      <w:r w:rsidR="00A67CF0">
        <w:rPr>
          <w:rFonts w:ascii="Times New Roman" w:hAnsi="Times New Roman" w:cs="Times New Roman"/>
          <w:b/>
          <w:sz w:val="24"/>
          <w:szCs w:val="24"/>
        </w:rPr>
        <w:t>3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>.4, п.4.</w:t>
      </w:r>
      <w:r w:rsidR="00A67CF0">
        <w:rPr>
          <w:rFonts w:ascii="Times New Roman" w:hAnsi="Times New Roman" w:cs="Times New Roman"/>
          <w:b/>
          <w:sz w:val="24"/>
          <w:szCs w:val="24"/>
        </w:rPr>
        <w:t>6</w:t>
      </w:r>
    </w:p>
    <w:p w14:paraId="330458F0" w14:textId="725F6F62" w:rsidR="00814D12" w:rsidRDefault="00814D12" w:rsidP="00814D12">
      <w:pPr>
        <w:autoSpaceDE w:val="0"/>
        <w:autoSpaceDN w:val="0"/>
        <w:adjustRightInd w:val="0"/>
        <w:spacing w:before="200" w:after="0" w:line="240" w:lineRule="auto"/>
        <w:ind w:left="-426" w:right="2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Полный текст измененной (скорректированной) информации: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0102A" w14:textId="77777777" w:rsidR="00A67CF0" w:rsidRDefault="00A67CF0" w:rsidP="00A67CF0">
      <w:pPr>
        <w:ind w:left="57" w:right="57"/>
        <w:contextualSpacing/>
        <w:jc w:val="both"/>
        <w:rPr>
          <w:b/>
          <w:bCs/>
        </w:rPr>
      </w:pPr>
    </w:p>
    <w:p w14:paraId="0657CB50" w14:textId="576292A1" w:rsidR="00A67CF0" w:rsidRPr="00A67CF0" w:rsidRDefault="00A67CF0" w:rsidP="00A67CF0">
      <w:pPr>
        <w:ind w:left="57" w:right="57" w:firstLine="51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>Раздел 1. Управленческий отчет эмитента</w:t>
      </w:r>
    </w:p>
    <w:p w14:paraId="711F60A0" w14:textId="77777777" w:rsidR="00A67CF0" w:rsidRPr="00A67CF0" w:rsidRDefault="00A67CF0" w:rsidP="00A67CF0">
      <w:pPr>
        <w:ind w:left="57" w:right="57" w:firstLine="51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1.2. Сведения о положении эмитента в отрасли </w:t>
      </w:r>
    </w:p>
    <w:p w14:paraId="5BCACC8A" w14:textId="77777777" w:rsidR="00A67CF0" w:rsidRPr="00A67CF0" w:rsidRDefault="00A67CF0" w:rsidP="00A67CF0">
      <w:pPr>
        <w:ind w:left="57" w:right="57" w:firstLine="48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>Внести следующие дополнения:</w:t>
      </w:r>
    </w:p>
    <w:p w14:paraId="0E15B210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/>
          <w:color w:val="000000"/>
          <w:sz w:val="24"/>
          <w:szCs w:val="24"/>
        </w:rPr>
        <w:t>СТРАТЕГИЯ</w:t>
      </w:r>
    </w:p>
    <w:p w14:paraId="715CC0D0" w14:textId="5378449E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2024 году МТС Банк принял новую стратегическую программу, реализация которой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процессе.</w:t>
      </w:r>
    </w:p>
    <w:p w14:paraId="0E5DE3D3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Стратегические приоритеты:</w:t>
      </w:r>
    </w:p>
    <w:tbl>
      <w:tblPr>
        <w:tblStyle w:val="ac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8086"/>
      </w:tblGrid>
      <w:tr w:rsidR="00A67CF0" w:rsidRPr="00A67CF0" w14:paraId="2FFD26CA" w14:textId="77777777" w:rsidTr="00A67CF0">
        <w:tc>
          <w:tcPr>
            <w:tcW w:w="2263" w:type="dxa"/>
          </w:tcPr>
          <w:p w14:paraId="42F9DDA9" w14:textId="77777777" w:rsidR="00A67CF0" w:rsidRPr="00A67CF0" w:rsidRDefault="00A67CF0" w:rsidP="00A95415">
            <w:pPr>
              <w:keepLines/>
              <w:rPr>
                <w:noProof/>
                <w:kern w:val="2"/>
                <w:sz w:val="22"/>
                <w:szCs w:val="22"/>
                <w14:ligatures w14:val="standardContextual"/>
              </w:rPr>
            </w:pPr>
            <w:r w:rsidRPr="00A67CF0">
              <w:rPr>
                <w:noProof/>
                <w:kern w:val="2"/>
                <w:sz w:val="22"/>
                <w:szCs w:val="22"/>
                <w14:ligatures w14:val="standardContextual"/>
              </w:rPr>
              <w:t>Опережающее развитие частотных продуктов привлечения и Daily Banking в коллаборации с ключевыми партнёрами</w:t>
            </w:r>
          </w:p>
        </w:tc>
        <w:tc>
          <w:tcPr>
            <w:tcW w:w="8086" w:type="dxa"/>
          </w:tcPr>
          <w:p w14:paraId="06B9653B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Трансформация карточных продуктов с улучшенными условиями для клиентов, гибкой программой лояльности, фокусом на активное транзакционное поведение и интеграцию в клиентские пути и платёжные сценарии партнёрских сервисов</w:t>
            </w:r>
          </w:p>
          <w:p w14:paraId="116D2AD4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 xml:space="preserve">Сохранение лидерства в POS-кредитовании за счёт внедрения умных </w:t>
            </w:r>
            <w:proofErr w:type="spellStart"/>
            <w:r w:rsidRPr="00A67CF0">
              <w:rPr>
                <w:sz w:val="22"/>
                <w:szCs w:val="22"/>
              </w:rPr>
              <w:t>скоринговых</w:t>
            </w:r>
            <w:proofErr w:type="spellEnd"/>
            <w:r w:rsidRPr="00A67CF0">
              <w:rPr>
                <w:sz w:val="22"/>
                <w:szCs w:val="22"/>
              </w:rPr>
              <w:t xml:space="preserve"> моделей, повышения качества клиентов и расширения интеграций с крупными партнёрами</w:t>
            </w:r>
          </w:p>
          <w:p w14:paraId="2410C8CE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 xml:space="preserve">Запуск сервиса рассрочки </w:t>
            </w:r>
            <w:r w:rsidRPr="00A67CF0">
              <w:rPr>
                <w:sz w:val="22"/>
                <w:szCs w:val="22"/>
                <w:lang w:val="en-US"/>
              </w:rPr>
              <w:t>BNPL</w:t>
            </w:r>
            <w:r w:rsidRPr="00A67CF0">
              <w:rPr>
                <w:sz w:val="22"/>
                <w:szCs w:val="22"/>
              </w:rPr>
              <w:t xml:space="preserve"> при оплате по </w:t>
            </w:r>
            <w:r w:rsidRPr="00A67CF0">
              <w:rPr>
                <w:sz w:val="22"/>
                <w:szCs w:val="22"/>
                <w:lang w:val="en-US"/>
              </w:rPr>
              <w:t>QR</w:t>
            </w:r>
            <w:r w:rsidRPr="00A67CF0">
              <w:rPr>
                <w:sz w:val="22"/>
                <w:szCs w:val="22"/>
              </w:rPr>
              <w:t xml:space="preserve"> и встраивание модуля МТС </w:t>
            </w:r>
            <w:r w:rsidRPr="00A67CF0">
              <w:rPr>
                <w:sz w:val="22"/>
                <w:szCs w:val="22"/>
                <w:lang w:val="en-US"/>
              </w:rPr>
              <w:t>Pay</w:t>
            </w:r>
            <w:r w:rsidRPr="00A67CF0">
              <w:rPr>
                <w:sz w:val="22"/>
                <w:szCs w:val="22"/>
              </w:rPr>
              <w:t xml:space="preserve"> + </w:t>
            </w:r>
            <w:r w:rsidRPr="00A67CF0">
              <w:rPr>
                <w:sz w:val="22"/>
                <w:szCs w:val="22"/>
                <w:lang w:val="en-US"/>
              </w:rPr>
              <w:t>BNPL</w:t>
            </w:r>
            <w:r w:rsidRPr="00A67CF0">
              <w:rPr>
                <w:sz w:val="22"/>
                <w:szCs w:val="22"/>
              </w:rPr>
              <w:t xml:space="preserve"> в витрины партнёрских сервисов</w:t>
            </w:r>
          </w:p>
          <w:p w14:paraId="32F44CBF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 xml:space="preserve">Запуск комплексного решения на базе МТС </w:t>
            </w:r>
            <w:proofErr w:type="spellStart"/>
            <w:r w:rsidRPr="00A67CF0">
              <w:rPr>
                <w:sz w:val="22"/>
                <w:szCs w:val="22"/>
              </w:rPr>
              <w:t>Pay</w:t>
            </w:r>
            <w:proofErr w:type="spellEnd"/>
            <w:r w:rsidRPr="00A67CF0">
              <w:rPr>
                <w:sz w:val="22"/>
                <w:szCs w:val="22"/>
              </w:rPr>
              <w:t xml:space="preserve">, МТС ID, Флекс и МТС </w:t>
            </w:r>
            <w:proofErr w:type="spellStart"/>
            <w:r w:rsidRPr="00A67CF0">
              <w:rPr>
                <w:sz w:val="22"/>
                <w:szCs w:val="22"/>
              </w:rPr>
              <w:t>Кешбэк</w:t>
            </w:r>
            <w:proofErr w:type="spellEnd"/>
            <w:r w:rsidRPr="00A67CF0">
              <w:rPr>
                <w:sz w:val="22"/>
                <w:szCs w:val="22"/>
              </w:rPr>
              <w:t xml:space="preserve"> для сегмента </w:t>
            </w:r>
            <w:r w:rsidRPr="00A67CF0">
              <w:rPr>
                <w:sz w:val="22"/>
                <w:szCs w:val="22"/>
                <w:lang w:val="en-US"/>
              </w:rPr>
              <w:t>e</w:t>
            </w:r>
            <w:r w:rsidRPr="00A67CF0">
              <w:rPr>
                <w:sz w:val="22"/>
                <w:szCs w:val="22"/>
              </w:rPr>
              <w:t>-</w:t>
            </w:r>
            <w:r w:rsidRPr="00A67CF0">
              <w:rPr>
                <w:sz w:val="22"/>
                <w:szCs w:val="22"/>
                <w:lang w:val="en-US"/>
              </w:rPr>
              <w:t>commerce</w:t>
            </w:r>
          </w:p>
          <w:p w14:paraId="613100EB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Развитие функциональности сервиса платежей и переводов для повышения частотности использования интерфейсов МТС Банка</w:t>
            </w:r>
          </w:p>
        </w:tc>
      </w:tr>
      <w:tr w:rsidR="00A67CF0" w:rsidRPr="00A67CF0" w14:paraId="7F07D10C" w14:textId="77777777" w:rsidTr="00A67CF0">
        <w:tc>
          <w:tcPr>
            <w:tcW w:w="2263" w:type="dxa"/>
          </w:tcPr>
          <w:p w14:paraId="1DC5F10C" w14:textId="77777777" w:rsidR="00A67CF0" w:rsidRPr="00A67CF0" w:rsidRDefault="00A67CF0" w:rsidP="00A95415">
            <w:pPr>
              <w:keepLines/>
              <w:rPr>
                <w:noProof/>
                <w:kern w:val="2"/>
                <w:sz w:val="22"/>
                <w:szCs w:val="22"/>
                <w14:ligatures w14:val="standardContextual"/>
              </w:rPr>
            </w:pPr>
            <w:r w:rsidRPr="00A67CF0">
              <w:rPr>
                <w:noProof/>
                <w:kern w:val="2"/>
                <w:sz w:val="22"/>
                <w:szCs w:val="22"/>
                <w14:ligatures w14:val="standardContextual"/>
              </w:rPr>
              <w:t>Повышение частотности и доходности кредитных продуктов Банка</w:t>
            </w:r>
          </w:p>
        </w:tc>
        <w:tc>
          <w:tcPr>
            <w:tcW w:w="8086" w:type="dxa"/>
          </w:tcPr>
          <w:p w14:paraId="4DBD0EC8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Максимизация доходности текущего портфеля кредитных карт и кредитов наличными</w:t>
            </w:r>
          </w:p>
          <w:p w14:paraId="668E600D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 xml:space="preserve">Запуск направлений </w:t>
            </w:r>
            <w:proofErr w:type="spellStart"/>
            <w:r w:rsidRPr="00A67CF0">
              <w:rPr>
                <w:sz w:val="22"/>
                <w:szCs w:val="22"/>
              </w:rPr>
              <w:t>digital</w:t>
            </w:r>
            <w:proofErr w:type="spellEnd"/>
            <w:r w:rsidRPr="00A67CF0">
              <w:rPr>
                <w:sz w:val="22"/>
                <w:szCs w:val="22"/>
              </w:rPr>
              <w:t>-автокредитования в партнёрстве с маркетплейсами и кредитования под залог автомобиля</w:t>
            </w:r>
          </w:p>
        </w:tc>
      </w:tr>
      <w:tr w:rsidR="00A67CF0" w:rsidRPr="00A67CF0" w14:paraId="31E60DF5" w14:textId="77777777" w:rsidTr="00A67CF0">
        <w:tc>
          <w:tcPr>
            <w:tcW w:w="2263" w:type="dxa"/>
          </w:tcPr>
          <w:p w14:paraId="69EBC300" w14:textId="77777777" w:rsidR="00A67CF0" w:rsidRPr="00A67CF0" w:rsidRDefault="00A67CF0" w:rsidP="00A95415">
            <w:pPr>
              <w:keepLines/>
              <w:rPr>
                <w:noProof/>
                <w:kern w:val="2"/>
                <w:sz w:val="22"/>
                <w:szCs w:val="22"/>
                <w14:ligatures w14:val="standardContextual"/>
              </w:rPr>
            </w:pPr>
            <w:r w:rsidRPr="00A67CF0">
              <w:rPr>
                <w:noProof/>
                <w:kern w:val="2"/>
                <w:sz w:val="22"/>
                <w:szCs w:val="22"/>
                <w14:ligatures w14:val="standardContextual"/>
              </w:rPr>
              <w:lastRenderedPageBreak/>
              <w:t>Расширение кросс-продаж пассивных и транзакционных продуктов</w:t>
            </w:r>
          </w:p>
        </w:tc>
        <w:tc>
          <w:tcPr>
            <w:tcW w:w="8086" w:type="dxa"/>
          </w:tcPr>
          <w:p w14:paraId="14A4CAC4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Рост клиентских остатков на карточных счетах и повышение вовлечённости в Daily Banking клиентов сегмента Private &amp; Premium</w:t>
            </w:r>
          </w:p>
          <w:p w14:paraId="11038D09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Расширение линейки инвестиционных продуктов, в том числе за счёт партнёров, и развитие функциональности МТС Инвестиций</w:t>
            </w:r>
          </w:p>
          <w:p w14:paraId="50463EDA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Создание таргетированных предложений для различных сегментов клиентов: молодёжь, мигранты, зарплатные клиенты и пр.</w:t>
            </w:r>
          </w:p>
        </w:tc>
      </w:tr>
      <w:tr w:rsidR="00A67CF0" w:rsidRPr="00A67CF0" w14:paraId="5020F9B0" w14:textId="77777777" w:rsidTr="00A67CF0">
        <w:tc>
          <w:tcPr>
            <w:tcW w:w="2263" w:type="dxa"/>
          </w:tcPr>
          <w:p w14:paraId="61B244E5" w14:textId="77777777" w:rsidR="00A67CF0" w:rsidRPr="00A67CF0" w:rsidRDefault="00A67CF0" w:rsidP="00A95415">
            <w:pPr>
              <w:keepLines/>
              <w:rPr>
                <w:noProof/>
                <w:kern w:val="2"/>
                <w:sz w:val="22"/>
                <w:szCs w:val="22"/>
                <w14:ligatures w14:val="standardContextual"/>
              </w:rPr>
            </w:pPr>
            <w:r w:rsidRPr="00A67CF0">
              <w:rPr>
                <w:noProof/>
                <w:kern w:val="2"/>
                <w:sz w:val="22"/>
                <w:szCs w:val="22"/>
                <w14:ligatures w14:val="standardContextual"/>
              </w:rPr>
              <w:t>Развитие корпоративного и МСБ-сегментов</w:t>
            </w:r>
          </w:p>
        </w:tc>
        <w:tc>
          <w:tcPr>
            <w:tcW w:w="8086" w:type="dxa"/>
          </w:tcPr>
          <w:p w14:paraId="0F09FDAE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Развитие платёжной инфраструктуры</w:t>
            </w:r>
          </w:p>
          <w:p w14:paraId="0D55B2B0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 xml:space="preserve">Выстраивание расчётно-сервисной модели </w:t>
            </w:r>
          </w:p>
          <w:p w14:paraId="2BB4BF70" w14:textId="77777777" w:rsidR="00A67CF0" w:rsidRPr="00A67CF0" w:rsidRDefault="00A67CF0" w:rsidP="00A95415">
            <w:pPr>
              <w:keepLines/>
              <w:tabs>
                <w:tab w:val="left" w:pos="226"/>
              </w:tabs>
              <w:ind w:left="41" w:hanging="41"/>
              <w:contextualSpacing/>
              <w:rPr>
                <w:sz w:val="22"/>
                <w:szCs w:val="22"/>
              </w:rPr>
            </w:pPr>
            <w:r w:rsidRPr="00A67CF0">
              <w:rPr>
                <w:sz w:val="22"/>
                <w:szCs w:val="22"/>
              </w:rPr>
              <w:t>Формирование сегментных предложений на базе ключевых потребностей юридических лиц</w:t>
            </w:r>
          </w:p>
        </w:tc>
      </w:tr>
    </w:tbl>
    <w:p w14:paraId="1C17B227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Реализация стратегии повысит диверсификацию доходов и клиентского привлечения, обеспечит устойчивость при «охлаждении» кредитного рынка и позволит Банку к 2027 году:</w:t>
      </w:r>
    </w:p>
    <w:p w14:paraId="541A3425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увеличить базу активных клиентов в 2–3 раза (до 6,5–8,5 млн человек);</w:t>
      </w:r>
    </w:p>
    <w:p w14:paraId="0C4F4F34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обеспечить рост чистой прибыли в 2–2,5 раза;</w:t>
      </w:r>
    </w:p>
    <w:p w14:paraId="599E369C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ежегодно выплачивать дивиденды в размере 25–50% чистой прибыли при рентабельности капитала на уровне 20–25%.</w:t>
      </w:r>
    </w:p>
    <w:p w14:paraId="25A1EBC5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исполнения стратегии в 2024 году:</w:t>
      </w:r>
    </w:p>
    <w:p w14:paraId="4FDEAA06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В 2024 году Банк провёл рекордное российское IPO по объёму спроса и количеству заявок инвесторов. Итоговый объём привлечения средств составил 11,5 млрд. рублей.</w:t>
      </w:r>
    </w:p>
    <w:p w14:paraId="2C2D90A2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В условиях ужесточения макроэкономической политики Банка России, замедления роста рынка кредитования и высокой стоимости привлечения средств Банк сосредоточился на развитии продуктов Daily Banking, повышении частотности и доходности кредитных продуктов и увеличении клиентских остатков на карточных и накопительных счетах, что позволило снизить стоимость фондирования за счёт оптимизации структуры клиентских пассивов.</w:t>
      </w:r>
    </w:p>
    <w:p w14:paraId="6B125244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Банк также значительно нарастил портфель розничного кредитования, сохранил лидерство на рынке POS-кредитования и вошёл в восьмёрку крупнейших игроков в сегменте необеспеченного потребительского кредитования. </w:t>
      </w:r>
    </w:p>
    <w:p w14:paraId="38EAFC7B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в 2024 году активно развивалось направление платежей и переводов: было улучшено качество сервисов для повышения частотности, реализована функциональность платежей и переводов в интерфейсах партнёров, созданы точечные платёжные сервисы под клиентские потребности. Банк активно расширяет функционал трансграничных переводов, увеличивая число партнёров и доступных стран.</w:t>
      </w:r>
    </w:p>
    <w:p w14:paraId="29E4C53D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/>
          <w:color w:val="000000"/>
          <w:sz w:val="24"/>
          <w:szCs w:val="24"/>
        </w:rPr>
        <w:t>ИНВЕСТИЦИОННАЯ ПРОГРАММА</w:t>
      </w:r>
    </w:p>
    <w:p w14:paraId="486F84BC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Инвестиционная программа Банка нацелена на выполнение требований регулятора, развитие продуктовых и клиентских сервисов, превентивную работу с рисками информационной безопасности, обеспечение бесперебойности ИТ-процессов, а также развитие и поддержание сети. </w:t>
      </w:r>
    </w:p>
    <w:p w14:paraId="7943F663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Проведённая ранее масштабная модернизация ИТ-инфраструктуры в 2024 году позволила Банку сосредоточиться на расширении и дооснащении сети дополнительных офисов, а также приобретении, внедрении и доработке ключевого программного обеспечения.</w:t>
      </w:r>
    </w:p>
    <w:p w14:paraId="3F5028DA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В 2025 году инвестиционная программа будет сфокусирована на обеспечении непрерывной деятельности Банка за счёт комплексной модернизации ИТ-инфраструктуры, повышения уровня информационной безопасности и оптимизации поддержки как текущих, так и перспективных проектов. Ключевым фактором успеха станет достижение оптимального соотношения между объёмом инвестиций и эффективностью их использования.</w:t>
      </w:r>
    </w:p>
    <w:p w14:paraId="013C1AD3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/>
          <w:color w:val="000000"/>
          <w:sz w:val="24"/>
          <w:szCs w:val="24"/>
        </w:rPr>
        <w:t>СИСТЕМА УПРАВЛЕНИЯ УСТОЙЧИВЫМ РАЗВИТИЕМ</w:t>
      </w:r>
    </w:p>
    <w:p w14:paraId="79DDCC24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Система управления устойчивым развитием МТС Банка выстроена в соответствии с требованиями законодательствами, внутренними нормативными документами и рекомендациями 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Центрального банка России. </w:t>
      </w:r>
    </w:p>
    <w:p w14:paraId="4CED89D3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Ежегодно МТС Банк разрабатывает дорожную карту ESG-инициатив и устанавливает соответствующие KPI, которые утверждаются Правлением. Ход реализации инициатив и ключевые вопросы в области устойчивого развития ежеквартально рассматриваются на заседаниях Правления Банка. Для разработки и реализации программ в области устойчивого развития на базе Департамента стратегии банковского бизнеса создан ESG-центр.</w:t>
      </w:r>
    </w:p>
    <w:p w14:paraId="4FCD35B3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Кроме того, связанные с деятельностью Банка вопросы устойчивого развития ежеквартально рассматриваются на заседаниях ESG-комитета Группы МТС. Решения в сфере благотворительности принимаются на профильном комитете по благотворительности и спонсорству. </w:t>
      </w:r>
    </w:p>
    <w:p w14:paraId="0E91E9E6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Основными целями Банка в области устойчивого развития на 2024 год были: </w:t>
      </w:r>
    </w:p>
    <w:p w14:paraId="0EC6D62E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рост числа благополучателей, участвующих в социальных программах;</w:t>
      </w:r>
    </w:p>
    <w:p w14:paraId="7D1349F8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рост числа клиентов, участвующих в социальных и экологических инициативах;</w:t>
      </w:r>
    </w:p>
    <w:p w14:paraId="6809B630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рост числа сотрудников, участвующих в волонтерской, социальной и экологической активности;</w:t>
      </w:r>
    </w:p>
    <w:p w14:paraId="579F3C75" w14:textId="77777777" w:rsidR="00A67CF0" w:rsidRPr="00A67CF0" w:rsidRDefault="00A67CF0" w:rsidP="00A67CF0">
      <w:pPr>
        <w:widowControl w:val="0"/>
        <w:spacing w:before="240" w:line="276" w:lineRule="auto"/>
        <w:ind w:firstLine="53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A67CF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совершенствование практик раскрытия нефинансовой отчётности и повышение ESG-рейтинга Банка. </w:t>
      </w:r>
    </w:p>
    <w:p w14:paraId="12DF395C" w14:textId="77777777" w:rsidR="00A67CF0" w:rsidRPr="00A67CF0" w:rsidRDefault="00A67CF0" w:rsidP="00A67CF0">
      <w:pPr>
        <w:ind w:left="57" w:right="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44A2" w14:textId="77777777" w:rsidR="00A67CF0" w:rsidRPr="00A67CF0" w:rsidRDefault="00A67CF0" w:rsidP="00A67CF0">
      <w:pPr>
        <w:ind w:left="57" w:right="57" w:firstLine="48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A67CF0">
        <w:rPr>
          <w:rFonts w:ascii="Times New Roman" w:hAnsi="Times New Roman" w:cs="Times New Roman"/>
          <w:b/>
          <w:sz w:val="24"/>
          <w:szCs w:val="24"/>
        </w:rPr>
        <w:t>Сведения об акционерах (участниках. членах) эмитента, а также о сделках эмитента, в совершении которых имелась заинтересованность, и крупных сделках эмитента</w:t>
      </w:r>
    </w:p>
    <w:p w14:paraId="0A5DB5E6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>3.4. Сделки эмитента, в совершении которых имелась заинтересованность</w:t>
      </w:r>
    </w:p>
    <w:p w14:paraId="4817F120" w14:textId="4E27B4E8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>Изложить в следующей редакции:</w:t>
      </w:r>
    </w:p>
    <w:p w14:paraId="598A37C8" w14:textId="77777777" w:rsidR="00A67CF0" w:rsidRPr="00A67CF0" w:rsidRDefault="00A67CF0" w:rsidP="00A67CF0">
      <w:pPr>
        <w:ind w:left="57" w:right="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36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47"/>
        <w:gridCol w:w="1559"/>
        <w:gridCol w:w="3277"/>
        <w:gridCol w:w="3527"/>
        <w:gridCol w:w="1559"/>
      </w:tblGrid>
      <w:tr w:rsidR="00A67CF0" w:rsidRPr="00A67CF0" w14:paraId="73B1FFB4" w14:textId="77777777" w:rsidTr="00A95415">
        <w:tc>
          <w:tcPr>
            <w:tcW w:w="447" w:type="dxa"/>
          </w:tcPr>
          <w:p w14:paraId="39E8658C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b/>
                <w:bCs/>
              </w:rPr>
              <w:t>№ п/п</w:t>
            </w:r>
          </w:p>
        </w:tc>
        <w:tc>
          <w:tcPr>
            <w:tcW w:w="1559" w:type="dxa"/>
          </w:tcPr>
          <w:p w14:paraId="238C6E5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b/>
                <w:bCs/>
              </w:rPr>
              <w:t>Заинтересованные в сделке лица</w:t>
            </w:r>
          </w:p>
        </w:tc>
        <w:tc>
          <w:tcPr>
            <w:tcW w:w="3277" w:type="dxa"/>
          </w:tcPr>
          <w:p w14:paraId="5D711E0C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b/>
                <w:bCs/>
              </w:rPr>
              <w:t>Существенные условия сделки</w:t>
            </w:r>
          </w:p>
        </w:tc>
        <w:tc>
          <w:tcPr>
            <w:tcW w:w="3527" w:type="dxa"/>
          </w:tcPr>
          <w:p w14:paraId="579A9F87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b/>
                <w:bCs/>
              </w:rPr>
              <w:t xml:space="preserve">Основание признания лица заинтересованным (в случае. если размер сделки составлял 2 и более % балансовой стоимости активов ПАО «МТС-банк») </w:t>
            </w:r>
          </w:p>
        </w:tc>
        <w:tc>
          <w:tcPr>
            <w:tcW w:w="1559" w:type="dxa"/>
          </w:tcPr>
          <w:p w14:paraId="61E6F0D5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b/>
                <w:bCs/>
              </w:rPr>
              <w:t>Орган управления, принявший решение о согласии на совершение сделки</w:t>
            </w:r>
          </w:p>
        </w:tc>
      </w:tr>
      <w:tr w:rsidR="00A67CF0" w:rsidRPr="00A67CF0" w14:paraId="5B0332E9" w14:textId="77777777" w:rsidTr="00A95415">
        <w:tc>
          <w:tcPr>
            <w:tcW w:w="447" w:type="dxa"/>
            <w:vAlign w:val="center"/>
          </w:tcPr>
          <w:p w14:paraId="0EABA4EA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56AF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1</w:t>
            </w:r>
          </w:p>
          <w:p w14:paraId="2B2461D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4DC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Внесение ПАО «МТС-Банк» вклада в имущество дочерней организации</w:t>
            </w:r>
          </w:p>
          <w:p w14:paraId="2BC65128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 xml:space="preserve">Стоимость сделки: 2 млрд. рублей </w:t>
            </w:r>
          </w:p>
          <w:p w14:paraId="72243F1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Стороны: Участник 1 и</w:t>
            </w:r>
            <w:r w:rsidRPr="00A67CF0">
              <w:t xml:space="preserve"> </w:t>
            </w:r>
            <w:r w:rsidRPr="00A67CF0">
              <w:rPr>
                <w:rFonts w:eastAsia="Calibri"/>
              </w:rPr>
              <w:t>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AA0B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Контролирующее лицо ПАО «МТС-Банк» - Лицо 1, является одновременно контролирующим лицом Лицо 2</w:t>
            </w:r>
          </w:p>
          <w:p w14:paraId="294C68CD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3D3D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 xml:space="preserve">Совет директоров </w:t>
            </w:r>
          </w:p>
        </w:tc>
      </w:tr>
      <w:tr w:rsidR="00A67CF0" w:rsidRPr="00A67CF0" w14:paraId="3D9AFEA5" w14:textId="77777777" w:rsidTr="00A95415">
        <w:tc>
          <w:tcPr>
            <w:tcW w:w="447" w:type="dxa"/>
            <w:vAlign w:val="center"/>
          </w:tcPr>
          <w:p w14:paraId="24C5084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AB03B" w14:textId="77777777" w:rsidR="00A67CF0" w:rsidRPr="00A67CF0" w:rsidRDefault="00A67CF0" w:rsidP="00A95415">
            <w:pPr>
              <w:jc w:val="center"/>
              <w:rPr>
                <w:b/>
                <w:bCs/>
              </w:rPr>
            </w:pPr>
            <w:r w:rsidRPr="00A67CF0">
              <w:rPr>
                <w:rFonts w:eastAsia="Calibri"/>
              </w:rPr>
              <w:t>Лицо</w:t>
            </w:r>
            <w:r w:rsidRPr="00A67CF0">
              <w:t xml:space="preserve"> 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7A2A0" w14:textId="77777777" w:rsidR="00A67CF0" w:rsidRPr="00A67CF0" w:rsidRDefault="00A67CF0" w:rsidP="00A95415">
            <w:pPr>
              <w:jc w:val="center"/>
            </w:pPr>
            <w:r w:rsidRPr="00A67CF0">
              <w:t>Поручительство по обязательствам Участник 1</w:t>
            </w:r>
          </w:p>
          <w:p w14:paraId="371689C6" w14:textId="77777777" w:rsidR="00A67CF0" w:rsidRPr="00A67CF0" w:rsidRDefault="00A67CF0" w:rsidP="00A95415">
            <w:pPr>
              <w:jc w:val="center"/>
            </w:pPr>
            <w:r w:rsidRPr="00A67CF0">
              <w:t>Стоимость сделки: не более 2 млрд. рублей</w:t>
            </w:r>
          </w:p>
          <w:p w14:paraId="76B04CDD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t>Стороны: ПАО «МТС-Банк» (поручитель); Участник 1 выгодоприобретатель)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1B59D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Контролирующее лицо ПАО «МТС-Банк» - Лицо 1, является одновременно контролирующим лицом Лицо 2</w:t>
            </w:r>
          </w:p>
          <w:p w14:paraId="5F2147A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61EDF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t xml:space="preserve">Совет директоров </w:t>
            </w:r>
          </w:p>
        </w:tc>
      </w:tr>
      <w:tr w:rsidR="00A67CF0" w:rsidRPr="00A67CF0" w14:paraId="71B48F77" w14:textId="77777777" w:rsidTr="00A95415">
        <w:tc>
          <w:tcPr>
            <w:tcW w:w="447" w:type="dxa"/>
            <w:vAlign w:val="center"/>
          </w:tcPr>
          <w:p w14:paraId="7E27CB2A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188C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1,</w:t>
            </w:r>
          </w:p>
          <w:p w14:paraId="337C8A4D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2</w:t>
            </w:r>
          </w:p>
          <w:p w14:paraId="4BD284D6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FEA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реализацией (продажей) субординированных облигаций серии 03СУБ и 04СУБ ПАО «МТС-Банк» на этапе их размещения</w:t>
            </w:r>
          </w:p>
          <w:p w14:paraId="1786CC9C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 xml:space="preserve">Стоимость сделки: 6 млрд. рублей. </w:t>
            </w:r>
          </w:p>
          <w:p w14:paraId="29644607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Стороны: ПАО «МТС-Банк» (эмитент) и 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DB8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Контролирующее лицо ПАО «МТС-Банк» - Лицо 1, является одновременно контролирующим лицом Лицо 2</w:t>
            </w:r>
          </w:p>
          <w:p w14:paraId="3FB530C9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Член Совета директоров ПАО «МТС-Банк» - Лицо 3, занимает должности в органах управления Лица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78D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Совет директоров</w:t>
            </w:r>
          </w:p>
        </w:tc>
      </w:tr>
      <w:tr w:rsidR="00A67CF0" w:rsidRPr="00A67CF0" w14:paraId="6C6C8353" w14:textId="77777777" w:rsidTr="00A95415">
        <w:tc>
          <w:tcPr>
            <w:tcW w:w="447" w:type="dxa"/>
            <w:vAlign w:val="center"/>
          </w:tcPr>
          <w:p w14:paraId="36F0C0DE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3C935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1,</w:t>
            </w:r>
          </w:p>
          <w:p w14:paraId="70EAD7CF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2</w:t>
            </w:r>
          </w:p>
          <w:p w14:paraId="7C660D11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287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реализацией (продажей) субординированных облигаций серии 05СУБ ПАО «МТС-Банк» на этапе их размещения</w:t>
            </w:r>
          </w:p>
          <w:p w14:paraId="74D530E6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 xml:space="preserve">Стоимость сделки: 9 млрд. рублей. </w:t>
            </w:r>
          </w:p>
          <w:p w14:paraId="31C1CB23" w14:textId="287648A3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lastRenderedPageBreak/>
              <w:t>Стороны: ПАО «МТС-Банк» (эмитент) и 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0A0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lastRenderedPageBreak/>
              <w:t>Контролирующее лицо ПАО «МТС-Банк» - Лицо 1, является одновременно контролирующим лицом Лицо 2</w:t>
            </w:r>
          </w:p>
          <w:p w14:paraId="35DC9BD5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lastRenderedPageBreak/>
              <w:t>Член Совета директоров ПАО «МТС-Банк» - Лицо 3, занимает должности в органах управления Лица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0ED2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lastRenderedPageBreak/>
              <w:t>Совет директоров</w:t>
            </w:r>
          </w:p>
        </w:tc>
      </w:tr>
      <w:tr w:rsidR="00A67CF0" w:rsidRPr="00A67CF0" w14:paraId="657B0BCA" w14:textId="77777777" w:rsidTr="00A95415">
        <w:tc>
          <w:tcPr>
            <w:tcW w:w="447" w:type="dxa"/>
            <w:vAlign w:val="center"/>
          </w:tcPr>
          <w:p w14:paraId="19F6FCDE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91E9" w14:textId="77777777" w:rsidR="00A67CF0" w:rsidRPr="00A67CF0" w:rsidRDefault="00A67CF0" w:rsidP="00A95415">
            <w:pPr>
              <w:ind w:right="57"/>
              <w:contextualSpacing/>
              <w:jc w:val="center"/>
              <w:rPr>
                <w:b/>
                <w:bCs/>
              </w:rPr>
            </w:pPr>
            <w:r w:rsidRPr="00A67CF0">
              <w:rPr>
                <w:rFonts w:eastAsia="Calibri"/>
              </w:rPr>
              <w:t>Лицо 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981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Дополнительное соглашение к Трудовому договору с Председателем Правления ПАО «МТС-Банк»</w:t>
            </w:r>
          </w:p>
          <w:p w14:paraId="4A4B05E1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Стоимость сделки: более 0,1%, но не более 10% балансовой стоимости активов ПАО «МТС-Банк»</w:t>
            </w:r>
          </w:p>
          <w:p w14:paraId="3B2D7589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Стороны: 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8B7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Председатель Правления Лицо 1 является стороной в сделке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D6A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Совет директоров</w:t>
            </w:r>
          </w:p>
        </w:tc>
      </w:tr>
      <w:tr w:rsidR="00A67CF0" w:rsidRPr="00A67CF0" w14:paraId="7BA3757F" w14:textId="77777777" w:rsidTr="00A95415">
        <w:tc>
          <w:tcPr>
            <w:tcW w:w="447" w:type="dxa"/>
            <w:vAlign w:val="center"/>
          </w:tcPr>
          <w:p w14:paraId="3C802DE2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D075A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1,</w:t>
            </w:r>
          </w:p>
          <w:p w14:paraId="1DBFCFC7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2</w:t>
            </w:r>
          </w:p>
          <w:p w14:paraId="6292D517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E5B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реализацией (продажей) субординированных облигаций серии 07СУБ ПАО «МТС-Банк» на этапе их размещения</w:t>
            </w:r>
          </w:p>
          <w:p w14:paraId="15646B39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 xml:space="preserve">Стоимость сделки: 9 млрд. рублей. </w:t>
            </w:r>
          </w:p>
          <w:p w14:paraId="48722C18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Стороны: ПАО «МТС-Банк» (эмитент) и 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C02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Контролирующее лицо ПАО «МТС-Банк» - Лицо 1, является одновременно контролирующим лицом Лицо 2</w:t>
            </w:r>
          </w:p>
          <w:p w14:paraId="60C67A04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Член Совета директоров ПАО «МТС-Банк» - Лицо 3, занимает должности в органах управления Лица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DDF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Совет директоров</w:t>
            </w:r>
          </w:p>
        </w:tc>
      </w:tr>
      <w:tr w:rsidR="00A67CF0" w:rsidRPr="00A67CF0" w14:paraId="4869355B" w14:textId="77777777" w:rsidTr="00A95415">
        <w:tc>
          <w:tcPr>
            <w:tcW w:w="447" w:type="dxa"/>
            <w:vAlign w:val="center"/>
          </w:tcPr>
          <w:p w14:paraId="48DF7FE6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70A6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1,</w:t>
            </w:r>
          </w:p>
          <w:p w14:paraId="7A005ED4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Лицо 2</w:t>
            </w:r>
          </w:p>
          <w:p w14:paraId="7B42D2A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F82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продажей портфеля физических лиц ПАО «МТС-Банк» в Участник 2» по договору цессии</w:t>
            </w:r>
          </w:p>
          <w:p w14:paraId="519AC7A6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 xml:space="preserve">Стоимость сделки: 4 529 612 634 рублей. </w:t>
            </w:r>
          </w:p>
          <w:p w14:paraId="39EA1AF3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Стороны: ПАО «МТС-Банк» (эмитент) и Участник 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87A" w14:textId="77777777" w:rsidR="00A67CF0" w:rsidRPr="00A67CF0" w:rsidRDefault="00A67CF0" w:rsidP="00A95415">
            <w:pPr>
              <w:jc w:val="center"/>
              <w:rPr>
                <w:rFonts w:eastAsia="Calibri"/>
              </w:rPr>
            </w:pPr>
            <w:r w:rsidRPr="00A67CF0">
              <w:rPr>
                <w:rFonts w:eastAsia="Calibri"/>
              </w:rPr>
              <w:t>Контролирующее лицо ПАО «МТС-Банк» - Лицо 1, является одновременно контролирующим лицом Лицо 2</w:t>
            </w:r>
          </w:p>
          <w:p w14:paraId="7E04461B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Член Совета директоров ПАО «МТС-Банк» - Лицо 3, занимает должности в органах управления Лица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855" w14:textId="77777777" w:rsidR="00A67CF0" w:rsidRPr="00A67CF0" w:rsidRDefault="00A67CF0" w:rsidP="00A95415">
            <w:pPr>
              <w:ind w:right="57"/>
              <w:contextualSpacing/>
              <w:jc w:val="both"/>
              <w:rPr>
                <w:b/>
                <w:bCs/>
              </w:rPr>
            </w:pPr>
            <w:r w:rsidRPr="00A67CF0">
              <w:rPr>
                <w:rFonts w:eastAsia="Calibri"/>
              </w:rPr>
              <w:t>Совет директоров</w:t>
            </w:r>
          </w:p>
        </w:tc>
      </w:tr>
    </w:tbl>
    <w:p w14:paraId="0730D1E8" w14:textId="77777777" w:rsidR="00A67CF0" w:rsidRPr="00A67CF0" w:rsidRDefault="00A67CF0" w:rsidP="00A67CF0">
      <w:pPr>
        <w:ind w:left="57" w:right="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6E545" w14:textId="77777777" w:rsidR="00A67CF0" w:rsidRPr="00A67CF0" w:rsidRDefault="00A67CF0" w:rsidP="0066443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Pr="00A67CF0">
        <w:rPr>
          <w:rFonts w:ascii="Times New Roman" w:hAnsi="Times New Roman" w:cs="Times New Roman"/>
          <w:b/>
          <w:sz w:val="24"/>
          <w:szCs w:val="24"/>
        </w:rPr>
        <w:t>Дополнительные сведения об эмитенте и о размещенных им ценных бумагах</w:t>
      </w:r>
    </w:p>
    <w:p w14:paraId="4BA6473B" w14:textId="77777777" w:rsidR="00A67CF0" w:rsidRPr="00A67CF0" w:rsidRDefault="00A67CF0" w:rsidP="0066443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iCs/>
          <w:sz w:val="24"/>
          <w:szCs w:val="24"/>
        </w:rPr>
        <w:t>4.6. Информация об аудиторе эмитента</w:t>
      </w:r>
    </w:p>
    <w:p w14:paraId="450780FE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Внести следующие дополнения: </w:t>
      </w:r>
    </w:p>
    <w:p w14:paraId="4BEC72F4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 xml:space="preserve">Фактический размер вознаграждения, выплаченного эмитентом аудитору эмитента за последний завершенный отчетный год, с отдельным указанием размера вознаграждения, выплаченного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</w:p>
    <w:p w14:paraId="0DE315BF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За 2024 год Эмитент выплатил аудитору вознаграждение в размере 33 942 тыс. руб., включая НДС, в том числе:</w:t>
      </w:r>
    </w:p>
    <w:p w14:paraId="5BC5EE17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- расходы на аудит промежуточной консолидированной финансовой отчетности Банка по международным стандартам за 6 месяцев 2024 года в размере 4 812 тыс. руб. (включая НДС);</w:t>
      </w:r>
    </w:p>
    <w:p w14:paraId="534BE0EA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- расходы на проверку проектов документов, связанных с эмиссией акций (проекта проспекта ценных бумаг, проекта презентации аналитикам), в частности включенных в них цифр и информации из финансовых отчетностей в размере 3 120 тыс. руб. (включая НДС);</w:t>
      </w:r>
    </w:p>
    <w:p w14:paraId="210054D1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- расходы на обзорные проверки пакетов промежуточной консолидированной финансовой отчетности за три, шесть и девять месяцев 2024 года в размере 1 200 тыс. руб. (включая НДС);</w:t>
      </w:r>
    </w:p>
    <w:p w14:paraId="24C2874E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- расходы на аудит годовой консолидированной финансовой отчетности Банка по российским и международным стандартам за 2024 год в размере 27 930 тыс. руб. (включая НДС).</w:t>
      </w:r>
    </w:p>
    <w:p w14:paraId="55CD89B6" w14:textId="77777777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Вознаграждения в отношении аудитора эмитента, выплаченные подконтрольными эмитенту организациями, имеющими для него существенное значение – отсутствуют.</w:t>
      </w:r>
    </w:p>
    <w:p w14:paraId="4928E4CE" w14:textId="77777777" w:rsidR="00A67CF0" w:rsidRPr="00A67CF0" w:rsidRDefault="00A67CF0" w:rsidP="00A67CF0">
      <w:pPr>
        <w:ind w:left="57" w:right="57" w:firstLine="6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 xml:space="preserve">В отношении аудитора, который проводил (будет проводить) проверку консолидированной финансовой отчетности эмитента, дополнительно раскрывается фактический размер вознаграждения, выплаченного за последний завершенный отчетный год эмитентом и подконтрольными эмитенту организациями, имеющими для него существенное значение, указанному аудитору, а если аудитор является членом объединения организаций, включенного в перечень российских сетей аудиторских организаций или перечень международных сетей аудиторских организаций, - также организациям, которые являются членами того же объединения организаций, членом которого является аудитор </w:t>
      </w:r>
      <w:r w:rsidRPr="00A67CF0">
        <w:rPr>
          <w:rFonts w:ascii="Times New Roman" w:hAnsi="Times New Roman" w:cs="Times New Roman"/>
          <w:sz w:val="24"/>
          <w:szCs w:val="24"/>
        </w:rPr>
        <w:lastRenderedPageBreak/>
        <w:t xml:space="preserve">эмитента (входят с аудитором эмитента в одну сеть аудиторских организаций), с отдельным указанием размера вознаграждения, выплаченного за аудит (проверку), в том числе обязательный, консолидированной финансовой отчетности эмитента и за оказание сопутствующих аудиту и прочих связанных с аудиторской деятельностью услуг: </w:t>
      </w:r>
    </w:p>
    <w:p w14:paraId="40DE9CEF" w14:textId="46FC27CD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F0">
        <w:rPr>
          <w:rFonts w:ascii="Times New Roman" w:hAnsi="Times New Roman" w:cs="Times New Roman"/>
          <w:sz w:val="24"/>
          <w:szCs w:val="24"/>
        </w:rPr>
        <w:t>Организациям, являющимся членами объединения организаций, в которое входит аудиторская организация, вознаграждение за 2024 год не выплачивалось</w:t>
      </w:r>
      <w:r w:rsidR="006644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15"/>
        <w:gridCol w:w="198"/>
        <w:gridCol w:w="397"/>
        <w:gridCol w:w="255"/>
        <w:gridCol w:w="1418"/>
        <w:gridCol w:w="397"/>
        <w:gridCol w:w="340"/>
        <w:gridCol w:w="29"/>
        <w:gridCol w:w="368"/>
        <w:gridCol w:w="907"/>
        <w:gridCol w:w="1078"/>
        <w:gridCol w:w="397"/>
        <w:gridCol w:w="112"/>
        <w:gridCol w:w="2723"/>
        <w:gridCol w:w="284"/>
        <w:gridCol w:w="221"/>
      </w:tblGrid>
      <w:tr w:rsidR="004D2CB1" w14:paraId="7657E81C" w14:textId="77777777" w:rsidTr="00240216">
        <w:tc>
          <w:tcPr>
            <w:tcW w:w="5386" w:type="dxa"/>
            <w:gridSpan w:val="11"/>
          </w:tcPr>
          <w:p w14:paraId="0BFC9F2F" w14:textId="6DF44807" w:rsidR="004D2CB1" w:rsidRDefault="00A67CF0" w:rsidP="00A91048">
            <w:pPr>
              <w:pStyle w:val="ConsPlusNormal"/>
              <w:spacing w:line="276" w:lineRule="auto"/>
              <w:ind w:left="283"/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87" w:type="dxa"/>
            <w:gridSpan w:val="3"/>
          </w:tcPr>
          <w:p w14:paraId="757386B8" w14:textId="77777777" w:rsidR="004D2CB1" w:rsidRDefault="004D2CB1" w:rsidP="00A91048">
            <w:pPr>
              <w:pStyle w:val="ConsPlusNormal"/>
              <w:spacing w:line="276" w:lineRule="auto"/>
            </w:pPr>
          </w:p>
        </w:tc>
        <w:tc>
          <w:tcPr>
            <w:tcW w:w="3228" w:type="dxa"/>
            <w:gridSpan w:val="3"/>
          </w:tcPr>
          <w:p w14:paraId="6C0426F8" w14:textId="77777777" w:rsidR="004D2CB1" w:rsidRDefault="004D2CB1" w:rsidP="00A91048">
            <w:pPr>
              <w:pStyle w:val="ConsPlusNormal"/>
              <w:spacing w:line="276" w:lineRule="auto"/>
            </w:pPr>
          </w:p>
        </w:tc>
      </w:tr>
      <w:tr w:rsidR="00240216" w:rsidRPr="0070434D" w14:paraId="269D9224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5B8C0" w14:textId="2F0BAF98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D6B74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  <w:p w14:paraId="4930027A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F0">
              <w:rPr>
                <w:rFonts w:ascii="Times New Roman" w:hAnsi="Times New Roman" w:cs="Times New Roman"/>
                <w:sz w:val="24"/>
                <w:szCs w:val="24"/>
              </w:rPr>
              <w:t>ПАО «МТС-Банк»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14:paraId="51DBEB25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8C8B3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14:paraId="23986833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23908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Раскрытие информации ограничивается в соответствии с Постановлением Правительства РФ от 04.07.2023 № 1102     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B2ACD8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40216" w:rsidRPr="00E15CFF" w14:paraId="22597E4D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562" w:type="dxa"/>
            <w:tcBorders>
              <w:left w:val="single" w:sz="4" w:space="0" w:color="auto"/>
              <w:bottom w:val="nil"/>
            </w:tcBorders>
          </w:tcPr>
          <w:p w14:paraId="05FC4759" w14:textId="77777777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7"/>
            <w:tcBorders>
              <w:bottom w:val="nil"/>
            </w:tcBorders>
          </w:tcPr>
          <w:p w14:paraId="3A49D3C2" w14:textId="77777777" w:rsidR="00240216" w:rsidRPr="00240216" w:rsidRDefault="00240216" w:rsidP="00A91048">
            <w:pPr>
              <w:spacing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14:paraId="3D4D9CAF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580ABEE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450B8CF" w14:textId="77777777" w:rsidR="00240216" w:rsidRPr="00A67CF0" w:rsidRDefault="00240216" w:rsidP="00A910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7CE8D86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4A1853F3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40216" w:rsidRPr="00E15CFF" w14:paraId="05F7EC08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4F0E76" w14:textId="31A5A0ED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B171" w14:textId="77777777" w:rsidR="00240216" w:rsidRPr="00240216" w:rsidRDefault="00240216" w:rsidP="00A9104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5F718" w14:textId="01AC86ED" w:rsidR="00240216" w:rsidRPr="00240216" w:rsidRDefault="00A67CF0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532A8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50FD4" w14:textId="2BBB6FB6" w:rsidR="00240216" w:rsidRPr="00240216" w:rsidRDefault="00A67CF0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D05B7" w14:textId="77777777" w:rsidR="00240216" w:rsidRPr="00240216" w:rsidRDefault="00240216" w:rsidP="00A9104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252F" w14:textId="75483500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C3E89" w14:textId="77777777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40216" w:rsidRPr="00E15CFF" w14:paraId="4F15F9E8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99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5B7" w14:textId="77777777" w:rsidR="00240216" w:rsidRPr="00E15CFF" w:rsidRDefault="00240216" w:rsidP="00A91048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03D765C" w14:textId="77777777" w:rsidR="004D2CB1" w:rsidRPr="008E43C7" w:rsidRDefault="004D2CB1" w:rsidP="004D2CB1">
      <w:pPr>
        <w:spacing w:line="276" w:lineRule="auto"/>
        <w:ind w:right="57"/>
        <w:contextualSpacing/>
        <w:jc w:val="both"/>
        <w:rPr>
          <w:rFonts w:ascii="Times New Roman" w:hAnsi="Times New Roman" w:cs="Times New Roman"/>
          <w:lang w:val="en-US"/>
        </w:rPr>
      </w:pPr>
    </w:p>
    <w:sectPr w:rsidR="004D2CB1" w:rsidRPr="008E43C7" w:rsidSect="00664430">
      <w:pgSz w:w="11906" w:h="16838"/>
      <w:pgMar w:top="851" w:right="850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5"/>
    <w:rsid w:val="001F23D8"/>
    <w:rsid w:val="00240216"/>
    <w:rsid w:val="0024121D"/>
    <w:rsid w:val="0026595D"/>
    <w:rsid w:val="00277677"/>
    <w:rsid w:val="00295A9B"/>
    <w:rsid w:val="0039269B"/>
    <w:rsid w:val="003E16E7"/>
    <w:rsid w:val="003F6144"/>
    <w:rsid w:val="0044252F"/>
    <w:rsid w:val="004456E4"/>
    <w:rsid w:val="004907D1"/>
    <w:rsid w:val="004C2F14"/>
    <w:rsid w:val="004D2CB1"/>
    <w:rsid w:val="00502411"/>
    <w:rsid w:val="00575E1E"/>
    <w:rsid w:val="00583FDF"/>
    <w:rsid w:val="005B3DBC"/>
    <w:rsid w:val="00664430"/>
    <w:rsid w:val="006D23AB"/>
    <w:rsid w:val="006E2D38"/>
    <w:rsid w:val="007356D0"/>
    <w:rsid w:val="00793AF0"/>
    <w:rsid w:val="007D42F9"/>
    <w:rsid w:val="007F37CF"/>
    <w:rsid w:val="00814D12"/>
    <w:rsid w:val="0082766A"/>
    <w:rsid w:val="008278D8"/>
    <w:rsid w:val="008608EC"/>
    <w:rsid w:val="008E43C7"/>
    <w:rsid w:val="0094414F"/>
    <w:rsid w:val="00A60B53"/>
    <w:rsid w:val="00A67CF0"/>
    <w:rsid w:val="00AA56C9"/>
    <w:rsid w:val="00AC175A"/>
    <w:rsid w:val="00BA7CC5"/>
    <w:rsid w:val="00C030E5"/>
    <w:rsid w:val="00C50ACB"/>
    <w:rsid w:val="00D21C78"/>
    <w:rsid w:val="00D43E5E"/>
    <w:rsid w:val="00D608DC"/>
    <w:rsid w:val="00DE2981"/>
    <w:rsid w:val="00E31824"/>
    <w:rsid w:val="00E537C2"/>
    <w:rsid w:val="00E71EE5"/>
    <w:rsid w:val="00EC70F1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8BFEA"/>
  <w15:chartTrackingRefBased/>
  <w15:docId w15:val="{9B39AD23-ACE5-4298-AEEE-BDAD7B4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0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70F1"/>
    <w:rPr>
      <w:color w:val="605E5C"/>
      <w:shd w:val="clear" w:color="auto" w:fill="E1DFDD"/>
    </w:rPr>
  </w:style>
  <w:style w:type="character" w:customStyle="1" w:styleId="a5">
    <w:name w:val="Текст сноски Знак"/>
    <w:basedOn w:val="a0"/>
    <w:link w:val="a6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490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4907D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4907D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sicChar">
    <w:name w:val="Basic Char"/>
    <w:link w:val="Basic"/>
    <w:locked/>
    <w:rsid w:val="004907D1"/>
  </w:style>
  <w:style w:type="paragraph" w:customStyle="1" w:styleId="Basic">
    <w:name w:val="Basic"/>
    <w:basedOn w:val="a"/>
    <w:link w:val="BasicChar"/>
    <w:rsid w:val="004907D1"/>
    <w:pPr>
      <w:spacing w:after="0" w:line="240" w:lineRule="auto"/>
      <w:ind w:firstLine="540"/>
      <w:jc w:val="both"/>
    </w:pPr>
  </w:style>
  <w:style w:type="paragraph" w:customStyle="1" w:styleId="ConsPlusNormal">
    <w:name w:val="ConsPlusNormal"/>
    <w:rsid w:val="00502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02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2766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A6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disclosure.ru/portal/files.aspx?id=1285&amp;typ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Николаевна</dc:creator>
  <cp:keywords/>
  <dc:description/>
  <cp:lastModifiedBy>Грон Елена Анатольевна</cp:lastModifiedBy>
  <cp:revision>3</cp:revision>
  <dcterms:created xsi:type="dcterms:W3CDTF">2025-06-10T07:32:00Z</dcterms:created>
  <dcterms:modified xsi:type="dcterms:W3CDTF">2025-06-10T07:45:00Z</dcterms:modified>
</cp:coreProperties>
</file>